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4"/>
          <w:szCs w:val="24"/>
        </w:rPr>
      </w:pPr>
      <w:bookmarkStart w:id="0" w:name="_GoBack"/>
      <w:r>
        <w:rPr>
          <w:rFonts w:hint="eastAsia" w:asciiTheme="minorEastAsia" w:hAnsiTheme="minorEastAsia"/>
          <w:b/>
          <w:sz w:val="28"/>
          <w:szCs w:val="28"/>
        </w:rPr>
        <w:t>生物科学与工程学院奖励性绩效</w:t>
      </w:r>
      <w:r>
        <w:rPr>
          <w:rFonts w:hint="eastAsia" w:asciiTheme="minorEastAsia" w:hAnsiTheme="minorEastAsia"/>
          <w:b/>
          <w:sz w:val="28"/>
          <w:szCs w:val="28"/>
          <w:lang w:val="en-US" w:eastAsia="zh-CN"/>
        </w:rPr>
        <w:t>分配</w:t>
      </w:r>
      <w:r>
        <w:rPr>
          <w:rFonts w:hint="eastAsia" w:asciiTheme="minorEastAsia" w:hAnsiTheme="minorEastAsia"/>
          <w:b/>
          <w:sz w:val="28"/>
          <w:szCs w:val="28"/>
        </w:rPr>
        <w:t>实施细则（</w:t>
      </w:r>
      <w:r>
        <w:rPr>
          <w:rFonts w:hint="eastAsia" w:asciiTheme="minorEastAsia" w:hAnsiTheme="minorEastAsia"/>
          <w:b/>
          <w:sz w:val="28"/>
          <w:szCs w:val="28"/>
          <w:lang w:val="en-US" w:eastAsia="zh-CN"/>
        </w:rPr>
        <w:t>修订版</w:t>
      </w:r>
      <w:r>
        <w:rPr>
          <w:rFonts w:hint="eastAsia" w:asciiTheme="minorEastAsia" w:hAnsiTheme="minorEastAsia"/>
          <w:b/>
          <w:sz w:val="28"/>
          <w:szCs w:val="28"/>
        </w:rPr>
        <w:t>）</w:t>
      </w:r>
    </w:p>
    <w:bookmarkEnd w:id="0"/>
    <w:p>
      <w:pPr>
        <w:spacing w:line="360" w:lineRule="auto"/>
        <w:rPr>
          <w:rFonts w:asciiTheme="minorEastAsia" w:hAnsiTheme="minorEastAsia"/>
          <w:b/>
          <w:sz w:val="24"/>
          <w:szCs w:val="24"/>
        </w:rPr>
      </w:pPr>
      <w:r>
        <w:rPr>
          <w:rFonts w:hint="eastAsia" w:asciiTheme="minorEastAsia" w:hAnsiTheme="minorEastAsia"/>
          <w:b/>
          <w:sz w:val="24"/>
          <w:szCs w:val="24"/>
        </w:rPr>
        <w:t xml:space="preserve">一、指导思想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根据福大人〔2017〕116 号《福州大学绩效工资实施办法（修订版）》文件</w:t>
      </w:r>
      <w:r>
        <w:rPr>
          <w:rFonts w:hint="eastAsia" w:asciiTheme="minorEastAsia" w:hAnsiTheme="minorEastAsia"/>
          <w:sz w:val="24"/>
          <w:szCs w:val="24"/>
          <w:lang w:val="en-US" w:eastAsia="zh-CN"/>
        </w:rPr>
        <w:t>精神，</w:t>
      </w:r>
      <w:r>
        <w:rPr>
          <w:rFonts w:hint="eastAsia" w:asciiTheme="minorEastAsia" w:hAnsiTheme="minorEastAsia"/>
          <w:sz w:val="24"/>
          <w:szCs w:val="24"/>
        </w:rPr>
        <w:t>通过建立更加合理的、以体现岗位绩效为核心的工资制度，创新人事管理、考核评价、分配激励机制，进一步激发广大教职工教书育人、科学研究、创新创业活力，推动学校教学改革，提高教育质量，坚持正确的科研方向，加强人才队伍建设，促进科研成果转换，开展创新创业和社会服务，进一步提高学校的综合实力和办学水平</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现</w:t>
      </w:r>
      <w:r>
        <w:rPr>
          <w:rFonts w:hint="eastAsia" w:asciiTheme="minorEastAsia" w:hAnsiTheme="minorEastAsia"/>
          <w:sz w:val="24"/>
          <w:szCs w:val="24"/>
        </w:rPr>
        <w:t>结合学院实际，特修订学院</w:t>
      </w:r>
      <w:r>
        <w:rPr>
          <w:rFonts w:hint="eastAsia" w:asciiTheme="minorEastAsia" w:hAnsiTheme="minorEastAsia"/>
          <w:sz w:val="24"/>
          <w:szCs w:val="24"/>
          <w:lang w:val="en-US" w:eastAsia="zh-CN"/>
        </w:rPr>
        <w:t>奖励性绩效</w:t>
      </w:r>
      <w:r>
        <w:rPr>
          <w:rFonts w:hint="eastAsia" w:asciiTheme="minorEastAsia" w:hAnsiTheme="minorEastAsia"/>
          <w:sz w:val="24"/>
          <w:szCs w:val="24"/>
        </w:rPr>
        <w:t>分配</w:t>
      </w:r>
      <w:r>
        <w:rPr>
          <w:rFonts w:hint="eastAsia" w:asciiTheme="minorEastAsia" w:hAnsiTheme="minorEastAsia"/>
          <w:sz w:val="24"/>
          <w:szCs w:val="24"/>
          <w:lang w:val="en-US" w:eastAsia="zh-CN"/>
        </w:rPr>
        <w:t>实施细则</w:t>
      </w:r>
      <w:r>
        <w:rPr>
          <w:rFonts w:hint="eastAsia" w:asciiTheme="minorEastAsia" w:hAnsiTheme="minorEastAsia"/>
          <w:sz w:val="24"/>
          <w:szCs w:val="24"/>
        </w:rPr>
        <w:t>，以促进学院事业发展。</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二、分配原则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1、体现多劳多得、优劳优酬。</w:t>
      </w:r>
    </w:p>
    <w:p>
      <w:pPr>
        <w:numPr>
          <w:ilvl w:val="0"/>
          <w:numId w:val="0"/>
        </w:num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体现绩效分配的公平、公正，适度普惠。</w:t>
      </w:r>
    </w:p>
    <w:p>
      <w:pPr>
        <w:spacing w:line="360" w:lineRule="auto"/>
        <w:rPr>
          <w:rFonts w:asciiTheme="minorEastAsia" w:hAnsiTheme="minorEastAsia"/>
          <w:b/>
          <w:sz w:val="24"/>
          <w:szCs w:val="24"/>
        </w:rPr>
      </w:pPr>
      <w:r>
        <w:rPr>
          <w:rFonts w:hint="eastAsia" w:asciiTheme="minorEastAsia" w:hAnsiTheme="minorEastAsia"/>
          <w:b/>
          <w:sz w:val="24"/>
          <w:szCs w:val="24"/>
        </w:rPr>
        <w:t>三、</w:t>
      </w:r>
      <w:r>
        <w:rPr>
          <w:rFonts w:hint="eastAsia" w:asciiTheme="minorEastAsia" w:hAnsiTheme="minorEastAsia"/>
          <w:b/>
          <w:sz w:val="24"/>
          <w:szCs w:val="24"/>
          <w:lang w:val="en-US" w:eastAsia="zh-CN"/>
        </w:rPr>
        <w:t>绩效</w:t>
      </w:r>
      <w:r>
        <w:rPr>
          <w:rFonts w:hint="eastAsia" w:asciiTheme="minorEastAsia" w:hAnsiTheme="minorEastAsia"/>
          <w:b/>
          <w:sz w:val="24"/>
          <w:szCs w:val="24"/>
        </w:rPr>
        <w:t xml:space="preserve">工资的实施范围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绩奖工资的实施范围为学院在编在岗的教职工，其中高层次拔尖人才按照《福州大学绩效工资实施办法（修订版）》文件规定执行，即：高层次拔尖人才的基础性绩效工资按照其所聘专业技术岗位的职级工资标准执行，其奖励性绩效工资作为岗位奖金，不纳入绩效工资总量范畴，对其实行聘任期年岗位奖金制与聘期考核，鼓励他们潜心教学和科研，争取标志性成果，其教学科研业绩（标志性成果除外）不参与教学科研人员职务业绩奖励分配。</w:t>
      </w:r>
    </w:p>
    <w:p>
      <w:pPr>
        <w:numPr>
          <w:ilvl w:val="0"/>
          <w:numId w:val="1"/>
        </w:numPr>
        <w:spacing w:line="360" w:lineRule="auto"/>
        <w:rPr>
          <w:rFonts w:asciiTheme="minorEastAsia" w:hAnsiTheme="minorEastAsia"/>
          <w:b/>
          <w:sz w:val="24"/>
          <w:szCs w:val="24"/>
        </w:rPr>
      </w:pPr>
      <w:r>
        <w:rPr>
          <w:rFonts w:hint="eastAsia" w:asciiTheme="minorEastAsia" w:hAnsiTheme="minorEastAsia"/>
          <w:b/>
          <w:sz w:val="24"/>
          <w:szCs w:val="24"/>
        </w:rPr>
        <w:t xml:space="preserve">绩奖工资的基本构成 </w:t>
      </w:r>
    </w:p>
    <w:tbl>
      <w:tblPr>
        <w:tblStyle w:val="3"/>
        <w:tblW w:w="8880" w:type="dxa"/>
        <w:jc w:val="center"/>
        <w:tblInd w:w="0" w:type="dxa"/>
        <w:tblLayout w:type="fixed"/>
        <w:tblCellMar>
          <w:top w:w="0" w:type="dxa"/>
          <w:left w:w="0" w:type="dxa"/>
          <w:bottom w:w="0" w:type="dxa"/>
          <w:right w:w="0" w:type="dxa"/>
        </w:tblCellMar>
      </w:tblPr>
      <w:tblGrid>
        <w:gridCol w:w="990"/>
        <w:gridCol w:w="990"/>
        <w:gridCol w:w="1230"/>
        <w:gridCol w:w="2420"/>
        <w:gridCol w:w="1230"/>
        <w:gridCol w:w="2020"/>
      </w:tblGrid>
      <w:tr>
        <w:tblPrEx>
          <w:tblLayout w:type="fixed"/>
          <w:tblCellMar>
            <w:top w:w="0" w:type="dxa"/>
            <w:left w:w="0" w:type="dxa"/>
            <w:bottom w:w="0" w:type="dxa"/>
            <w:right w:w="0" w:type="dxa"/>
          </w:tblCellMar>
        </w:tblPrEx>
        <w:trPr>
          <w:trHeight w:val="420" w:hRule="atLeast"/>
          <w:jc w:val="center"/>
        </w:trPr>
        <w:tc>
          <w:tcPr>
            <w:tcW w:w="88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绩效工资</w:t>
            </w:r>
          </w:p>
        </w:tc>
      </w:tr>
      <w:tr>
        <w:tblPrEx>
          <w:tblLayout w:type="fixed"/>
          <w:tblCellMar>
            <w:top w:w="0" w:type="dxa"/>
            <w:left w:w="0" w:type="dxa"/>
            <w:bottom w:w="0" w:type="dxa"/>
            <w:right w:w="0" w:type="dxa"/>
          </w:tblCellMar>
        </w:tblPrEx>
        <w:trPr>
          <w:trHeight w:val="42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基础性绩效工资</w:t>
            </w:r>
          </w:p>
        </w:tc>
        <w:tc>
          <w:tcPr>
            <w:tcW w:w="69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奖励性绩效工资</w:t>
            </w:r>
          </w:p>
        </w:tc>
      </w:tr>
      <w:tr>
        <w:tblPrEx>
          <w:tblLayout w:type="fixed"/>
          <w:tblCellMar>
            <w:top w:w="0" w:type="dxa"/>
            <w:left w:w="0" w:type="dxa"/>
            <w:bottom w:w="0" w:type="dxa"/>
            <w:right w:w="0" w:type="dxa"/>
          </w:tblCellMar>
        </w:tblPrEx>
        <w:trPr>
          <w:trHeight w:val="8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岗位津贴</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生活补贴</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岗位考核奖</w:t>
            </w:r>
          </w:p>
        </w:tc>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 xml:space="preserve"> 教学科研岗基础奖励（体现为教研津贴） </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标志性成果</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b/>
                <w:bCs/>
                <w:color w:val="000000"/>
                <w:kern w:val="0"/>
                <w:sz w:val="24"/>
                <w:szCs w:val="24"/>
                <w:lang w:bidi="ar"/>
              </w:rPr>
              <w:t>职务业绩奖励</w:t>
            </w:r>
          </w:p>
        </w:tc>
      </w:tr>
      <w:tr>
        <w:tblPrEx>
          <w:tblLayout w:type="fixed"/>
          <w:tblCellMar>
            <w:top w:w="0" w:type="dxa"/>
            <w:left w:w="0" w:type="dxa"/>
            <w:bottom w:w="0" w:type="dxa"/>
            <w:right w:w="0" w:type="dxa"/>
          </w:tblCellMar>
        </w:tblPrEx>
        <w:trPr>
          <w:trHeight w:val="820"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cs="宋体" w:asciiTheme="minorEastAsia" w:hAnsiTheme="minorEastAsia" w:eastAsiaTheme="minorEastAsia"/>
                <w:color w:val="000000"/>
                <w:kern w:val="0"/>
                <w:sz w:val="24"/>
                <w:szCs w:val="24"/>
                <w:lang w:val="en-US" w:eastAsia="zh-CN" w:bidi="ar"/>
              </w:rPr>
            </w:pPr>
            <w:r>
              <w:rPr>
                <w:rFonts w:hint="eastAsia" w:cs="宋体" w:asciiTheme="minorEastAsia" w:hAnsiTheme="minorEastAsia"/>
                <w:color w:val="000000"/>
                <w:kern w:val="0"/>
                <w:sz w:val="24"/>
                <w:szCs w:val="24"/>
                <w:lang w:val="en-US" w:eastAsia="zh-CN" w:bidi="ar"/>
              </w:rPr>
              <w:t>完成规定工作量后每月随工资发放</w:t>
            </w:r>
          </w:p>
        </w:tc>
        <w:tc>
          <w:tcPr>
            <w:tcW w:w="2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cs="宋体" w:asciiTheme="minorEastAsia" w:hAnsiTheme="minorEastAsia" w:eastAsiaTheme="minorEastAsia"/>
                <w:color w:val="000000"/>
                <w:kern w:val="0"/>
                <w:sz w:val="24"/>
                <w:szCs w:val="24"/>
                <w:lang w:val="en-US" w:eastAsia="zh-CN" w:bidi="ar"/>
              </w:rPr>
            </w:pPr>
            <w:r>
              <w:rPr>
                <w:rFonts w:hint="eastAsia" w:cs="宋体" w:asciiTheme="minorEastAsia" w:hAnsiTheme="minorEastAsia"/>
                <w:color w:val="000000"/>
                <w:kern w:val="0"/>
                <w:sz w:val="24"/>
                <w:szCs w:val="24"/>
                <w:lang w:val="en-US" w:eastAsia="zh-CN" w:bidi="ar"/>
              </w:rPr>
              <w:t>根据上年度考核情况每月随工资发放</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cs="宋体" w:asciiTheme="minorEastAsia" w:hAnsiTheme="minorEastAsia" w:eastAsiaTheme="minorEastAsia"/>
                <w:color w:val="000000"/>
                <w:kern w:val="0"/>
                <w:sz w:val="24"/>
                <w:szCs w:val="24"/>
                <w:lang w:val="en-US" w:eastAsia="zh-CN" w:bidi="ar"/>
              </w:rPr>
            </w:pPr>
            <w:r>
              <w:rPr>
                <w:rFonts w:hint="eastAsia" w:cs="宋体" w:asciiTheme="minorEastAsia" w:hAnsiTheme="minorEastAsia"/>
                <w:color w:val="000000"/>
                <w:kern w:val="0"/>
                <w:sz w:val="24"/>
                <w:szCs w:val="24"/>
                <w:lang w:val="en-US" w:eastAsia="zh-CN" w:bidi="ar"/>
              </w:rPr>
              <w:t>学校统一发放</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cs="宋体" w:asciiTheme="minorEastAsia" w:hAnsiTheme="minorEastAsia" w:eastAsiaTheme="minorEastAsia"/>
                <w:b/>
                <w:bCs/>
                <w:color w:val="000000"/>
                <w:kern w:val="0"/>
                <w:sz w:val="24"/>
                <w:szCs w:val="24"/>
                <w:lang w:val="en-US" w:eastAsia="zh-CN" w:bidi="ar"/>
              </w:rPr>
            </w:pPr>
            <w:r>
              <w:rPr>
                <w:rFonts w:hint="eastAsia" w:cs="宋体" w:asciiTheme="minorEastAsia" w:hAnsiTheme="minorEastAsia"/>
                <w:b/>
                <w:bCs/>
                <w:color w:val="000000"/>
                <w:kern w:val="0"/>
                <w:sz w:val="24"/>
                <w:szCs w:val="24"/>
                <w:lang w:val="en-US" w:eastAsia="zh-CN" w:bidi="ar"/>
              </w:rPr>
              <w:t>根据本细则计算后于年终统一核算发放</w:t>
            </w:r>
          </w:p>
        </w:tc>
      </w:tr>
    </w:tbl>
    <w:p>
      <w:pP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对正常履行岗位职责、完成基本工作量和学校、学院规定的其他工作任务的教职工，岗位津贴、生活补贴、岗位考核奖励根据学校相关规定每月随工资发放；根据上一年度考核情况，每月随工资发放教师教学科研岗基础奖励（优秀 1000</w:t>
      </w:r>
      <w:r>
        <w:rPr>
          <w:rFonts w:hint="eastAsia" w:asciiTheme="minorEastAsia" w:hAnsiTheme="minorEastAsia"/>
          <w:sz w:val="24"/>
          <w:szCs w:val="24"/>
          <w:lang w:val="en-US" w:eastAsia="zh-CN"/>
        </w:rPr>
        <w:t>元</w:t>
      </w:r>
      <w:r>
        <w:rPr>
          <w:rFonts w:hint="eastAsia" w:asciiTheme="minorEastAsia" w:hAnsiTheme="minorEastAsia"/>
          <w:sz w:val="24"/>
          <w:szCs w:val="24"/>
        </w:rPr>
        <w:t>/月，合格 800</w:t>
      </w:r>
      <w:r>
        <w:rPr>
          <w:rFonts w:hint="eastAsia" w:asciiTheme="minorEastAsia" w:hAnsiTheme="minorEastAsia"/>
          <w:sz w:val="24"/>
          <w:szCs w:val="24"/>
          <w:lang w:val="en-US" w:eastAsia="zh-CN"/>
        </w:rPr>
        <w:t>元</w:t>
      </w:r>
      <w:r>
        <w:rPr>
          <w:rFonts w:hint="eastAsia" w:asciiTheme="minorEastAsia" w:hAnsiTheme="minorEastAsia"/>
          <w:sz w:val="24"/>
          <w:szCs w:val="24"/>
        </w:rPr>
        <w:t>/月）；标志性成果奖励由学校统一发放；</w:t>
      </w:r>
      <w:r>
        <w:rPr>
          <w:rFonts w:hint="eastAsia" w:asciiTheme="minorEastAsia" w:hAnsiTheme="minorEastAsia"/>
          <w:b/>
          <w:bCs/>
          <w:sz w:val="24"/>
          <w:szCs w:val="24"/>
        </w:rPr>
        <w:t>职务业绩奖励根据以下实施细则于每年年终统一发放。</w:t>
      </w:r>
    </w:p>
    <w:p>
      <w:pPr>
        <w:numPr>
          <w:ilvl w:val="0"/>
          <w:numId w:val="1"/>
        </w:numPr>
        <w:spacing w:line="360" w:lineRule="auto"/>
        <w:rPr>
          <w:rFonts w:asciiTheme="minorEastAsia" w:hAnsiTheme="minorEastAsia"/>
          <w:b/>
          <w:sz w:val="24"/>
          <w:szCs w:val="24"/>
        </w:rPr>
      </w:pPr>
      <w:r>
        <w:rPr>
          <w:rFonts w:hint="eastAsia" w:asciiTheme="minorEastAsia" w:hAnsiTheme="minorEastAsia"/>
          <w:b/>
          <w:sz w:val="24"/>
          <w:szCs w:val="24"/>
        </w:rPr>
        <w:t>职务业绩奖励的实施</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职务业绩奖励是指教职工完成教学任务、科学研究、学科建设和管理服务等工作，并取得突出业绩的薪酬。奖励经费来源：学校根据上年度学院业绩考核情况下拨的经费。</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根据工作岗位性质的不同，以及学校经费划拨情况，学院在职在编人员分为</w:t>
      </w:r>
      <w:r>
        <w:rPr>
          <w:rFonts w:hint="eastAsia" w:asciiTheme="minorEastAsia" w:hAnsiTheme="minorEastAsia"/>
          <w:sz w:val="24"/>
          <w:szCs w:val="24"/>
        </w:rPr>
        <w:t>三</w:t>
      </w:r>
      <w:r>
        <w:rPr>
          <w:rFonts w:asciiTheme="minorEastAsia" w:hAnsiTheme="minorEastAsia"/>
          <w:sz w:val="24"/>
          <w:szCs w:val="24"/>
        </w:rPr>
        <w:t>类，分别是</w:t>
      </w:r>
      <w:r>
        <w:rPr>
          <w:rFonts w:asciiTheme="minorEastAsia" w:hAnsiTheme="minorEastAsia"/>
          <w:sz w:val="24"/>
          <w:szCs w:val="24"/>
          <w:u w:val="single"/>
        </w:rPr>
        <w:t>教学科研人员</w:t>
      </w:r>
      <w:r>
        <w:rPr>
          <w:rFonts w:hint="eastAsia" w:asciiTheme="minorEastAsia" w:hAnsiTheme="minorEastAsia"/>
          <w:sz w:val="24"/>
          <w:szCs w:val="24"/>
          <w:u w:val="single"/>
          <w:lang w:eastAsia="zh-CN"/>
        </w:rPr>
        <w:t>、</w:t>
      </w:r>
      <w:r>
        <w:rPr>
          <w:rFonts w:asciiTheme="minorEastAsia" w:hAnsiTheme="minorEastAsia"/>
          <w:sz w:val="24"/>
          <w:szCs w:val="24"/>
          <w:u w:val="single"/>
        </w:rPr>
        <w:t>思政人员</w:t>
      </w:r>
      <w:r>
        <w:rPr>
          <w:rFonts w:asciiTheme="minorEastAsia" w:hAnsiTheme="minorEastAsia"/>
          <w:sz w:val="24"/>
          <w:szCs w:val="24"/>
        </w:rPr>
        <w:t>和</w:t>
      </w:r>
      <w:r>
        <w:rPr>
          <w:rFonts w:asciiTheme="minorEastAsia" w:hAnsiTheme="minorEastAsia"/>
          <w:sz w:val="24"/>
          <w:szCs w:val="24"/>
          <w:u w:val="single"/>
        </w:rPr>
        <w:t>管理</w:t>
      </w:r>
      <w:r>
        <w:rPr>
          <w:rFonts w:hint="eastAsia" w:asciiTheme="minorEastAsia" w:hAnsiTheme="minorEastAsia"/>
          <w:sz w:val="24"/>
          <w:szCs w:val="24"/>
          <w:u w:val="single"/>
        </w:rPr>
        <w:t>、教辅、工勤</w:t>
      </w:r>
      <w:r>
        <w:rPr>
          <w:rFonts w:asciiTheme="minorEastAsia" w:hAnsiTheme="minorEastAsia"/>
          <w:sz w:val="24"/>
          <w:szCs w:val="24"/>
          <w:u w:val="single"/>
        </w:rPr>
        <w:t>人员</w:t>
      </w:r>
      <w:r>
        <w:rPr>
          <w:rFonts w:asciiTheme="minorEastAsia" w:hAnsiTheme="minorEastAsia"/>
          <w:sz w:val="24"/>
          <w:szCs w:val="24"/>
        </w:rPr>
        <w:t>。所以职务业绩奖励也分为</w:t>
      </w:r>
      <w:r>
        <w:rPr>
          <w:rFonts w:hint="eastAsia" w:asciiTheme="minorEastAsia" w:hAnsiTheme="minorEastAsia"/>
          <w:sz w:val="24"/>
          <w:szCs w:val="24"/>
        </w:rPr>
        <w:t>三块下拨进行分配</w:t>
      </w:r>
      <w:r>
        <w:rPr>
          <w:rFonts w:asciiTheme="minorEastAsia" w:hAnsiTheme="minorEastAsia"/>
          <w:sz w:val="24"/>
          <w:szCs w:val="24"/>
        </w:rPr>
        <w:t>。</w:t>
      </w:r>
    </w:p>
    <w:p>
      <w:pPr>
        <w:spacing w:line="360" w:lineRule="auto"/>
        <w:rPr>
          <w:rFonts w:asciiTheme="minorEastAsia" w:hAnsiTheme="minorEastAsia"/>
          <w:sz w:val="24"/>
          <w:szCs w:val="24"/>
        </w:rPr>
      </w:pPr>
      <w:r>
        <w:rPr>
          <w:rFonts w:asciiTheme="minorEastAsia" w:hAnsiTheme="minorEastAsia"/>
          <w:sz w:val="24"/>
          <w:szCs w:val="24"/>
        </w:rPr>
        <w:t>  </w:t>
      </w:r>
    </w:p>
    <w:p>
      <w:pPr>
        <w:spacing w:line="360" w:lineRule="auto"/>
        <w:rPr>
          <w:rFonts w:asciiTheme="minorEastAsia" w:hAnsiTheme="minorEastAsia"/>
          <w:b/>
          <w:bCs/>
          <w:sz w:val="24"/>
          <w:szCs w:val="24"/>
        </w:rPr>
      </w:pPr>
      <w:r>
        <w:rPr>
          <w:rFonts w:asciiTheme="minorEastAsia" w:hAnsiTheme="minorEastAsia"/>
          <w:b/>
          <w:bCs/>
          <w:sz w:val="24"/>
          <w:szCs w:val="24"/>
        </w:rPr>
        <w:t>（一）教学科研人员</w:t>
      </w:r>
    </w:p>
    <w:p>
      <w:pPr>
        <w:widowControl/>
        <w:spacing w:line="480" w:lineRule="auto"/>
        <w:ind w:firstLine="482" w:firstLineChars="200"/>
        <w:jc w:val="left"/>
        <w:rPr>
          <w:rFonts w:cs="宋体" w:asciiTheme="minorEastAsia" w:hAnsiTheme="minorEastAsia"/>
          <w:b/>
          <w:bCs/>
          <w:color w:val="000000"/>
          <w:kern w:val="0"/>
          <w:sz w:val="24"/>
          <w:szCs w:val="24"/>
          <w:lang w:val="en-US"/>
        </w:rPr>
      </w:pPr>
      <w:r>
        <w:rPr>
          <w:rFonts w:hint="eastAsia" w:cs="宋体" w:asciiTheme="minorEastAsia" w:hAnsiTheme="minorEastAsia"/>
          <w:b/>
          <w:bCs/>
          <w:color w:val="000000"/>
          <w:kern w:val="0"/>
          <w:sz w:val="24"/>
          <w:szCs w:val="24"/>
          <w:lang w:val="en-US" w:eastAsia="zh-CN"/>
        </w:rPr>
        <w:t>1、</w:t>
      </w:r>
      <w:r>
        <w:rPr>
          <w:rFonts w:hint="eastAsia" w:cs="宋体" w:asciiTheme="minorEastAsia" w:hAnsiTheme="minorEastAsia"/>
          <w:b w:val="0"/>
          <w:bCs w:val="0"/>
          <w:color w:val="000000"/>
          <w:kern w:val="0"/>
          <w:sz w:val="24"/>
          <w:szCs w:val="24"/>
        </w:rPr>
        <w:t>教学科研</w:t>
      </w:r>
      <w:r>
        <w:rPr>
          <w:rFonts w:hint="eastAsia" w:cs="宋体" w:asciiTheme="minorEastAsia" w:hAnsiTheme="minorEastAsia"/>
          <w:b w:val="0"/>
          <w:bCs w:val="0"/>
          <w:color w:val="000000"/>
          <w:kern w:val="0"/>
          <w:sz w:val="24"/>
          <w:szCs w:val="24"/>
          <w:lang w:val="en-US" w:eastAsia="zh-CN"/>
        </w:rPr>
        <w:t>人员职务业绩来源</w:t>
      </w:r>
    </w:p>
    <w:p>
      <w:pPr>
        <w:widowControl/>
        <w:spacing w:line="360" w:lineRule="auto"/>
        <w:ind w:firstLine="51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教学方面的奖励：主要包括超额完成授课工作任务、</w:t>
      </w:r>
      <w:r>
        <w:rPr>
          <w:rFonts w:hint="eastAsia" w:cs="宋体" w:asciiTheme="minorEastAsia" w:hAnsiTheme="minorEastAsia"/>
          <w:color w:val="000000"/>
          <w:kern w:val="0"/>
          <w:sz w:val="24"/>
          <w:szCs w:val="24"/>
          <w:lang w:val="en-US" w:eastAsia="zh-CN"/>
        </w:rPr>
        <w:t>教研教改项目、</w:t>
      </w:r>
      <w:r>
        <w:rPr>
          <w:rFonts w:hint="eastAsia" w:cs="宋体" w:asciiTheme="minorEastAsia" w:hAnsiTheme="minorEastAsia"/>
          <w:color w:val="000000"/>
          <w:kern w:val="0"/>
          <w:sz w:val="24"/>
          <w:szCs w:val="24"/>
        </w:rPr>
        <w:t>教学成果</w:t>
      </w:r>
      <w:r>
        <w:rPr>
          <w:rFonts w:hint="eastAsia" w:cs="宋体" w:asciiTheme="minorEastAsia" w:hAnsiTheme="minorEastAsia"/>
          <w:color w:val="000000"/>
          <w:kern w:val="0"/>
          <w:sz w:val="24"/>
          <w:szCs w:val="24"/>
          <w:lang w:val="en-US" w:eastAsia="zh-CN"/>
        </w:rPr>
        <w:t>奖、教研论文、编著教材、省级以上教学竞赛奖、专业建设成果奖、省级以上教学平台建设、优秀指导教师（团队）奖等</w:t>
      </w:r>
      <w:r>
        <w:rPr>
          <w:rFonts w:hint="eastAsia" w:cs="宋体" w:asciiTheme="minorEastAsia" w:hAnsiTheme="minorEastAsia"/>
          <w:color w:val="000000"/>
          <w:kern w:val="0"/>
          <w:sz w:val="24"/>
          <w:szCs w:val="24"/>
        </w:rPr>
        <w:t>。</w:t>
      </w:r>
    </w:p>
    <w:p>
      <w:pPr>
        <w:widowControl/>
        <w:spacing w:line="360" w:lineRule="auto"/>
        <w:ind w:firstLine="51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科研方面的奖励：主要包括</w:t>
      </w:r>
      <w:r>
        <w:rPr>
          <w:rFonts w:hint="eastAsia" w:cs="宋体" w:asciiTheme="minorEastAsia" w:hAnsiTheme="minorEastAsia"/>
          <w:color w:val="000000"/>
          <w:kern w:val="0"/>
          <w:sz w:val="24"/>
          <w:szCs w:val="24"/>
          <w:lang w:val="en-US" w:eastAsia="zh-CN"/>
        </w:rPr>
        <w:t>科技项目、论著、科技奖励、专利奖励、科技平台建设、优秀建议被采纳、</w:t>
      </w:r>
      <w:r>
        <w:rPr>
          <w:rFonts w:hint="eastAsia" w:cs="宋体" w:asciiTheme="minorEastAsia" w:hAnsiTheme="minorEastAsia"/>
          <w:color w:val="000000"/>
          <w:kern w:val="0"/>
          <w:sz w:val="24"/>
          <w:szCs w:val="24"/>
        </w:rPr>
        <w:t>学术交流等学校文件规定的获奖范围。</w:t>
      </w:r>
    </w:p>
    <w:p>
      <w:pPr>
        <w:widowControl/>
        <w:spacing w:line="360" w:lineRule="auto"/>
        <w:ind w:firstLine="510"/>
        <w:jc w:val="left"/>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社会服务方面的奖励：主要包括横向项目、平台建设、转化效益等。</w:t>
      </w:r>
    </w:p>
    <w:p>
      <w:pPr>
        <w:widowControl/>
        <w:spacing w:line="360" w:lineRule="auto"/>
        <w:ind w:firstLine="510"/>
        <w:jc w:val="left"/>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学科建设方面的奖励：主要包括学科建设、学科评估、学位点建设等。</w:t>
      </w:r>
    </w:p>
    <w:p>
      <w:pPr>
        <w:widowControl/>
        <w:spacing w:line="360" w:lineRule="auto"/>
        <w:ind w:firstLine="510"/>
        <w:jc w:val="left"/>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人才队伍建设：包括引进各类高层次人才、人才结构的优化等。</w:t>
      </w:r>
    </w:p>
    <w:p>
      <w:pPr>
        <w:widowControl/>
        <w:spacing w:line="360" w:lineRule="auto"/>
        <w:ind w:firstLine="482" w:firstLineChars="200"/>
        <w:rPr>
          <w:rFonts w:asciiTheme="minorEastAsia" w:hAnsiTheme="minorEastAsia"/>
          <w:b w:val="0"/>
          <w:bCs/>
          <w:sz w:val="24"/>
          <w:szCs w:val="24"/>
        </w:rPr>
      </w:pPr>
      <w:r>
        <w:rPr>
          <w:rFonts w:hint="eastAsia" w:cs="宋体" w:asciiTheme="minorEastAsia" w:hAnsiTheme="minorEastAsia"/>
          <w:b/>
          <w:color w:val="000000"/>
          <w:kern w:val="0"/>
          <w:sz w:val="24"/>
          <w:szCs w:val="24"/>
          <w:lang w:val="en-US" w:eastAsia="zh-CN"/>
        </w:rPr>
        <w:t>2</w:t>
      </w:r>
      <w:r>
        <w:rPr>
          <w:rFonts w:hint="eastAsia" w:cs="宋体" w:asciiTheme="minorEastAsia" w:hAnsiTheme="minorEastAsia"/>
          <w:b/>
          <w:color w:val="000000"/>
          <w:kern w:val="0"/>
          <w:sz w:val="24"/>
          <w:szCs w:val="24"/>
        </w:rPr>
        <w:t>、</w:t>
      </w:r>
      <w:r>
        <w:rPr>
          <w:rFonts w:hint="eastAsia" w:cs="宋体" w:asciiTheme="minorEastAsia" w:hAnsiTheme="minorEastAsia"/>
          <w:b w:val="0"/>
          <w:bCs/>
          <w:color w:val="000000"/>
          <w:kern w:val="0"/>
          <w:sz w:val="24"/>
          <w:szCs w:val="24"/>
        </w:rPr>
        <w:t>教学科研岗位教师基本工作量</w:t>
      </w:r>
      <w:r>
        <w:rPr>
          <w:rFonts w:hint="eastAsia" w:cs="宋体" w:asciiTheme="minorEastAsia" w:hAnsiTheme="minorEastAsia"/>
          <w:b w:val="0"/>
          <w:bCs/>
          <w:color w:val="000000"/>
          <w:kern w:val="0"/>
          <w:sz w:val="24"/>
          <w:szCs w:val="24"/>
          <w:lang w:val="en-US" w:eastAsia="zh-CN"/>
        </w:rPr>
        <w:t>定额</w:t>
      </w:r>
      <w:r>
        <w:rPr>
          <w:rFonts w:hint="eastAsia" w:cs="宋体" w:asciiTheme="minorEastAsia" w:hAnsiTheme="minorEastAsia"/>
          <w:b w:val="0"/>
          <w:bCs/>
          <w:color w:val="000000"/>
          <w:kern w:val="0"/>
          <w:sz w:val="24"/>
          <w:szCs w:val="24"/>
        </w:rPr>
        <w:t>标准</w:t>
      </w:r>
    </w:p>
    <w:tbl>
      <w:tblPr>
        <w:tblStyle w:val="3"/>
        <w:tblpPr w:leftFromText="180" w:rightFromText="180" w:vertAnchor="text" w:horzAnchor="page" w:tblpX="2152" w:tblpY="90"/>
        <w:tblOverlap w:val="never"/>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538"/>
        <w:gridCol w:w="1674"/>
        <w:gridCol w:w="151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998" w:type="dxa"/>
            <w:vAlign w:val="center"/>
          </w:tcPr>
          <w:p>
            <w:pPr>
              <w:widowControl/>
              <w:spacing w:line="52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岗位名称</w:t>
            </w:r>
          </w:p>
        </w:tc>
        <w:tc>
          <w:tcPr>
            <w:tcW w:w="1538"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教授</w:t>
            </w:r>
            <w:r>
              <w:rPr>
                <w:rFonts w:hint="eastAsia" w:cs="宋体" w:asciiTheme="minorEastAsia" w:hAnsiTheme="minorEastAsia"/>
                <w:kern w:val="0"/>
                <w:sz w:val="24"/>
                <w:szCs w:val="24"/>
                <w:lang w:val="en-US" w:eastAsia="zh-CN"/>
              </w:rPr>
              <w:t>/研究员</w:t>
            </w:r>
          </w:p>
        </w:tc>
        <w:tc>
          <w:tcPr>
            <w:tcW w:w="1674"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副教授</w:t>
            </w:r>
            <w:r>
              <w:rPr>
                <w:rFonts w:hint="eastAsia" w:cs="宋体" w:asciiTheme="minorEastAsia" w:hAnsiTheme="minorEastAsia"/>
                <w:kern w:val="0"/>
                <w:sz w:val="24"/>
                <w:szCs w:val="24"/>
                <w:lang w:val="en-US" w:eastAsia="zh-CN"/>
              </w:rPr>
              <w:t>/副研究员</w:t>
            </w:r>
          </w:p>
        </w:tc>
        <w:tc>
          <w:tcPr>
            <w:tcW w:w="1512"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讲师</w:t>
            </w:r>
            <w:r>
              <w:rPr>
                <w:rFonts w:hint="eastAsia" w:cs="宋体" w:asciiTheme="minorEastAsia" w:hAnsiTheme="minorEastAsia"/>
                <w:kern w:val="0"/>
                <w:sz w:val="24"/>
                <w:szCs w:val="24"/>
                <w:lang w:val="en-US" w:eastAsia="zh-CN"/>
              </w:rPr>
              <w:t>/助理研究员</w:t>
            </w:r>
          </w:p>
        </w:tc>
        <w:tc>
          <w:tcPr>
            <w:tcW w:w="1512"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助教</w:t>
            </w:r>
            <w:r>
              <w:rPr>
                <w:rFonts w:hint="eastAsia" w:cs="宋体" w:asciiTheme="minorEastAsia" w:hAnsiTheme="minorEastAsia"/>
                <w:kern w:val="0"/>
                <w:sz w:val="24"/>
                <w:szCs w:val="24"/>
                <w:lang w:val="en-US" w:eastAsia="zh-CN"/>
              </w:rPr>
              <w:t>/研究实习员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998" w:type="dxa"/>
            <w:vAlign w:val="center"/>
          </w:tcPr>
          <w:p>
            <w:pPr>
              <w:widowControl/>
              <w:spacing w:line="52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教学科研工作量</w:t>
            </w:r>
          </w:p>
        </w:tc>
        <w:tc>
          <w:tcPr>
            <w:tcW w:w="1538" w:type="dxa"/>
            <w:vAlign w:val="center"/>
          </w:tcPr>
          <w:p>
            <w:pPr>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330</w:t>
            </w:r>
          </w:p>
        </w:tc>
        <w:tc>
          <w:tcPr>
            <w:tcW w:w="1674"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300</w:t>
            </w:r>
          </w:p>
        </w:tc>
        <w:tc>
          <w:tcPr>
            <w:tcW w:w="1512"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280</w:t>
            </w:r>
          </w:p>
        </w:tc>
        <w:tc>
          <w:tcPr>
            <w:tcW w:w="1512" w:type="dxa"/>
            <w:vAlign w:val="center"/>
          </w:tcPr>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240</w:t>
            </w:r>
          </w:p>
        </w:tc>
      </w:tr>
    </w:tbl>
    <w:p>
      <w:pPr>
        <w:ind w:firstLine="480" w:firstLineChars="200"/>
        <w:rPr>
          <w:rFonts w:asciiTheme="minorEastAsia" w:hAnsiTheme="minorEastAsia"/>
          <w:sz w:val="24"/>
          <w:szCs w:val="24"/>
        </w:rPr>
      </w:pPr>
    </w:p>
    <w:p>
      <w:pPr>
        <w:widowControl/>
        <w:spacing w:line="480" w:lineRule="auto"/>
        <w:ind w:firstLine="510"/>
        <w:jc w:val="left"/>
        <w:rPr>
          <w:rFonts w:cs="宋体" w:asciiTheme="minorEastAsia" w:hAnsiTheme="minorEastAsia"/>
          <w:b/>
          <w:color w:val="000000"/>
          <w:kern w:val="0"/>
          <w:sz w:val="24"/>
          <w:szCs w:val="24"/>
        </w:rPr>
      </w:pPr>
    </w:p>
    <w:p>
      <w:pPr>
        <w:widowControl/>
        <w:spacing w:line="480" w:lineRule="auto"/>
        <w:ind w:firstLine="510"/>
        <w:jc w:val="left"/>
        <w:rPr>
          <w:rFonts w:cs="宋体" w:asciiTheme="minorEastAsia" w:hAnsiTheme="minorEastAsia"/>
          <w:b/>
          <w:color w:val="000000"/>
          <w:kern w:val="0"/>
          <w:sz w:val="24"/>
          <w:szCs w:val="24"/>
        </w:rPr>
      </w:pPr>
    </w:p>
    <w:p>
      <w:pPr>
        <w:widowControl/>
        <w:spacing w:line="480" w:lineRule="auto"/>
        <w:ind w:firstLine="510"/>
        <w:jc w:val="left"/>
        <w:rPr>
          <w:rFonts w:cs="宋体" w:asciiTheme="minorEastAsia" w:hAnsiTheme="minorEastAsia"/>
          <w:b/>
          <w:color w:val="000000"/>
          <w:kern w:val="0"/>
          <w:sz w:val="24"/>
          <w:szCs w:val="24"/>
        </w:rPr>
      </w:pPr>
    </w:p>
    <w:p>
      <w:pPr>
        <w:numPr>
          <w:ilvl w:val="0"/>
          <w:numId w:val="0"/>
        </w:numPr>
        <w:spacing w:line="360" w:lineRule="auto"/>
        <w:ind w:leftChars="0"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w:t>
      </w:r>
      <w:r>
        <w:rPr>
          <w:rFonts w:asciiTheme="minorEastAsia" w:hAnsiTheme="minorEastAsia"/>
          <w:sz w:val="24"/>
          <w:szCs w:val="24"/>
        </w:rPr>
        <w:t>教学科研</w:t>
      </w:r>
      <w:r>
        <w:rPr>
          <w:rFonts w:hint="eastAsia" w:asciiTheme="minorEastAsia" w:hAnsiTheme="minorEastAsia"/>
          <w:sz w:val="24"/>
          <w:szCs w:val="24"/>
        </w:rPr>
        <w:t>人员</w:t>
      </w:r>
      <w:r>
        <w:rPr>
          <w:rFonts w:hint="eastAsia" w:asciiTheme="minorEastAsia" w:hAnsiTheme="minorEastAsia"/>
          <w:sz w:val="24"/>
          <w:szCs w:val="24"/>
          <w:lang w:val="en-US" w:eastAsia="zh-CN"/>
        </w:rPr>
        <w:t>职务业绩奖励分为两部分</w:t>
      </w:r>
      <w:r>
        <w:rPr>
          <w:rFonts w:asciiTheme="minorEastAsia" w:hAnsiTheme="minorEastAsia"/>
          <w:sz w:val="24"/>
          <w:szCs w:val="24"/>
        </w:rPr>
        <w:t>，</w:t>
      </w:r>
      <w:r>
        <w:rPr>
          <w:rFonts w:hint="eastAsia" w:asciiTheme="minorEastAsia" w:hAnsiTheme="minorEastAsia"/>
          <w:sz w:val="24"/>
          <w:szCs w:val="24"/>
          <w:lang w:val="en-US" w:eastAsia="zh-CN"/>
        </w:rPr>
        <w:t>其中20%作为学院教学科研人员普惠性业绩奖励；另外80%作为</w:t>
      </w:r>
      <w:r>
        <w:rPr>
          <w:rFonts w:hint="eastAsia" w:asciiTheme="minorEastAsia" w:hAnsiTheme="minorEastAsia"/>
          <w:sz w:val="24"/>
          <w:szCs w:val="24"/>
          <w:lang w:val="en-US" w:eastAsia="zh-CN"/>
        </w:rPr>
        <w:t>超业绩奖励。</w:t>
      </w:r>
    </w:p>
    <w:p>
      <w:pPr>
        <w:numPr>
          <w:ilvl w:val="0"/>
          <w:numId w:val="0"/>
        </w:numPr>
        <w:spacing w:line="360" w:lineRule="auto"/>
        <w:ind w:leftChars="0"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其中，办学国际化、学科与学位点建设、人才队伍建设工作</w:t>
      </w:r>
      <w:r>
        <w:rPr>
          <w:rFonts w:hint="eastAsia" w:asciiTheme="minorEastAsia" w:hAnsiTheme="minorEastAsia"/>
          <w:sz w:val="24"/>
          <w:szCs w:val="24"/>
          <w:lang w:val="en-US" w:eastAsia="zh-CN"/>
        </w:rPr>
        <w:t>绩效扣除20%普惠乡业绩奖励后，学科与学位点建设工作量30%由相关负责人依据贡献大小自行分配，</w:t>
      </w:r>
      <w:r>
        <w:rPr>
          <w:rFonts w:hint="eastAsia" w:asciiTheme="minorEastAsia" w:hAnsiTheme="minorEastAsia"/>
          <w:sz w:val="24"/>
          <w:szCs w:val="24"/>
          <w:lang w:val="en-US" w:eastAsia="zh-CN"/>
        </w:rPr>
        <w:t>其余70%</w:t>
      </w:r>
      <w:r>
        <w:rPr>
          <w:rFonts w:hint="eastAsia" w:asciiTheme="minorEastAsia" w:hAnsiTheme="minorEastAsia"/>
          <w:sz w:val="24"/>
          <w:szCs w:val="24"/>
          <w:lang w:val="en-US" w:eastAsia="zh-CN"/>
        </w:rPr>
        <w:t>纳入学院大盘作为学院事业发展基金；</w:t>
      </w:r>
      <w:r>
        <w:rPr>
          <w:rFonts w:hint="eastAsia" w:asciiTheme="minorEastAsia" w:hAnsiTheme="minorEastAsia"/>
          <w:sz w:val="24"/>
          <w:szCs w:val="24"/>
          <w:lang w:val="en-US" w:eastAsia="zh-CN"/>
        </w:rPr>
        <w:t>办学国际化、人才队伍建设工作</w:t>
      </w:r>
      <w:r>
        <w:rPr>
          <w:rFonts w:hint="eastAsia" w:asciiTheme="minorEastAsia" w:hAnsiTheme="minorEastAsia"/>
          <w:sz w:val="24"/>
          <w:szCs w:val="24"/>
          <w:lang w:val="en-US" w:eastAsia="zh-CN"/>
        </w:rPr>
        <w:t>绩效由学院党政联席会议根据贡献进行分配，</w:t>
      </w:r>
      <w:r>
        <w:rPr>
          <w:rFonts w:hint="eastAsia" w:asciiTheme="minorEastAsia" w:hAnsiTheme="minorEastAsia"/>
          <w:sz w:val="24"/>
          <w:szCs w:val="24"/>
          <w:lang w:val="en-US" w:eastAsia="zh-CN"/>
        </w:rPr>
        <w:t>剩余部分纳入学院大盘作为学院事业发展基金。</w:t>
      </w:r>
    </w:p>
    <w:p>
      <w:pPr>
        <w:widowControl/>
        <w:spacing w:line="480" w:lineRule="auto"/>
        <w:ind w:firstLine="48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lang w:val="en-US" w:eastAsia="zh-CN"/>
        </w:rPr>
        <w:t>4</w:t>
      </w:r>
      <w:r>
        <w:rPr>
          <w:rFonts w:hint="eastAsia" w:cs="宋体" w:asciiTheme="minorEastAsia" w:hAnsiTheme="minorEastAsia"/>
          <w:b/>
          <w:color w:val="000000"/>
          <w:kern w:val="0"/>
          <w:sz w:val="24"/>
          <w:szCs w:val="24"/>
        </w:rPr>
        <w:t>、</w:t>
      </w:r>
      <w:r>
        <w:rPr>
          <w:rFonts w:hint="eastAsia" w:cs="宋体" w:asciiTheme="minorEastAsia" w:hAnsiTheme="minorEastAsia"/>
          <w:b w:val="0"/>
          <w:bCs/>
          <w:color w:val="000000"/>
          <w:kern w:val="0"/>
          <w:sz w:val="24"/>
          <w:szCs w:val="24"/>
          <w:lang w:val="en-US" w:eastAsia="zh-CN"/>
        </w:rPr>
        <w:t>普惠性</w:t>
      </w:r>
      <w:r>
        <w:rPr>
          <w:rFonts w:hint="eastAsia" w:cs="宋体" w:asciiTheme="minorEastAsia" w:hAnsiTheme="minorEastAsia"/>
          <w:b w:val="0"/>
          <w:bCs/>
          <w:color w:val="000000"/>
          <w:kern w:val="0"/>
          <w:sz w:val="24"/>
          <w:szCs w:val="24"/>
        </w:rPr>
        <w:t>业绩奖励要求：</w:t>
      </w:r>
    </w:p>
    <w:p>
      <w:pPr>
        <w:widowControl/>
        <w:spacing w:line="360" w:lineRule="auto"/>
        <w:ind w:firstLine="510"/>
        <w:jc w:val="left"/>
        <w:rPr>
          <w:rFonts w:hint="eastAsia" w:cs="宋体" w:asciiTheme="minorEastAsia" w:hAnsiTheme="minorEastAsia"/>
          <w:color w:val="000000"/>
          <w:kern w:val="0"/>
          <w:sz w:val="24"/>
          <w:szCs w:val="24"/>
        </w:rPr>
      </w:pPr>
    </w:p>
    <w:p>
      <w:pPr>
        <w:widowControl/>
        <w:numPr>
          <w:ilvl w:val="0"/>
          <w:numId w:val="2"/>
        </w:numPr>
        <w:spacing w:line="360" w:lineRule="auto"/>
        <w:ind w:firstLine="510"/>
        <w:jc w:val="left"/>
        <w:rPr>
          <w:rFonts w:cs="宋体" w:asciiTheme="minorEastAsia" w:hAnsiTheme="minorEastAsia"/>
          <w:kern w:val="0"/>
          <w:sz w:val="24"/>
          <w:szCs w:val="24"/>
        </w:rPr>
      </w:pPr>
      <w:r>
        <w:rPr>
          <w:rFonts w:hint="eastAsia" w:cs="宋体" w:asciiTheme="minorEastAsia" w:hAnsiTheme="minorEastAsia"/>
          <w:color w:val="000000"/>
          <w:kern w:val="0"/>
          <w:sz w:val="24"/>
          <w:szCs w:val="24"/>
        </w:rPr>
        <w:t>教学科研编制人员，在完成各岗位所对应的工作量要求的基础上，发给相应的</w:t>
      </w:r>
      <w:r>
        <w:rPr>
          <w:rFonts w:hint="eastAsia" w:cs="宋体" w:asciiTheme="minorEastAsia" w:hAnsiTheme="minorEastAsia"/>
          <w:color w:val="000000"/>
          <w:kern w:val="0"/>
          <w:sz w:val="24"/>
          <w:szCs w:val="24"/>
          <w:lang w:val="en-US" w:eastAsia="zh-CN"/>
        </w:rPr>
        <w:t>职务业绩奖励</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val="en-US" w:eastAsia="zh-CN"/>
        </w:rPr>
        <w:t>教学工作量、科研工作量合计计算实际完成的工作总量，</w:t>
      </w:r>
      <w:r>
        <w:rPr>
          <w:rFonts w:hint="eastAsia" w:cs="宋体" w:asciiTheme="minorEastAsia" w:hAnsiTheme="minorEastAsia"/>
          <w:color w:val="000000"/>
          <w:kern w:val="0"/>
          <w:sz w:val="24"/>
          <w:szCs w:val="24"/>
        </w:rPr>
        <w:t>凡完成规定工作量（不包含已领课酬的校选课、至诚学院等，下同）</w:t>
      </w:r>
      <w:r>
        <w:rPr>
          <w:rFonts w:hint="eastAsia" w:cs="宋体" w:asciiTheme="minorEastAsia" w:hAnsiTheme="minorEastAsia"/>
          <w:color w:val="000000"/>
          <w:kern w:val="0"/>
          <w:sz w:val="24"/>
          <w:szCs w:val="24"/>
        </w:rPr>
        <w:t>要求的教学科研人员，发放全额</w:t>
      </w:r>
      <w:r>
        <w:rPr>
          <w:rFonts w:hint="eastAsia" w:asciiTheme="minorEastAsia" w:hAnsiTheme="minorEastAsia"/>
          <w:sz w:val="24"/>
          <w:szCs w:val="24"/>
        </w:rPr>
        <w:t>普惠性</w:t>
      </w:r>
      <w:r>
        <w:rPr>
          <w:rFonts w:asciiTheme="minorEastAsia" w:hAnsiTheme="minorEastAsia"/>
          <w:sz w:val="24"/>
          <w:szCs w:val="24"/>
        </w:rPr>
        <w:t>业绩奖励</w:t>
      </w:r>
      <w:r>
        <w:rPr>
          <w:rFonts w:hint="eastAsia" w:cs="宋体" w:asciiTheme="minorEastAsia" w:hAnsiTheme="minorEastAsia"/>
          <w:kern w:val="0"/>
          <w:sz w:val="24"/>
          <w:szCs w:val="24"/>
        </w:rPr>
        <w:t>；</w:t>
      </w:r>
    </w:p>
    <w:p>
      <w:pPr>
        <w:widowControl/>
        <w:spacing w:line="360" w:lineRule="auto"/>
        <w:ind w:firstLine="510"/>
        <w:jc w:val="lef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2</w:t>
      </w:r>
      <w:r>
        <w:rPr>
          <w:rFonts w:hint="eastAsia" w:cs="宋体" w:asciiTheme="minorEastAsia" w:hAnsiTheme="minorEastAsia"/>
          <w:kern w:val="0"/>
          <w:sz w:val="24"/>
          <w:szCs w:val="24"/>
        </w:rPr>
        <w:t>）完成规定工作量要求</w:t>
      </w:r>
      <w:r>
        <w:rPr>
          <w:rFonts w:hint="eastAsia" w:cs="宋体" w:asciiTheme="minorEastAsia" w:hAnsiTheme="minorEastAsia"/>
          <w:kern w:val="0"/>
          <w:sz w:val="24"/>
          <w:szCs w:val="24"/>
          <w:lang w:val="en-US" w:eastAsia="zh-CN"/>
        </w:rPr>
        <w:t>60%以上（含60%）</w:t>
      </w:r>
      <w:r>
        <w:rPr>
          <w:rFonts w:hint="eastAsia" w:cs="宋体" w:asciiTheme="minorEastAsia" w:hAnsiTheme="minorEastAsia"/>
          <w:kern w:val="0"/>
          <w:sz w:val="24"/>
          <w:szCs w:val="24"/>
        </w:rPr>
        <w:t>的教学科研人员，按实际完成工作量比例发放普惠性业绩奖励</w:t>
      </w: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未达到60%的，不予以发放</w:t>
      </w:r>
      <w:r>
        <w:rPr>
          <w:rFonts w:hint="eastAsia" w:cs="宋体" w:asciiTheme="minorEastAsia" w:hAnsiTheme="minorEastAsia"/>
          <w:kern w:val="0"/>
          <w:sz w:val="24"/>
          <w:szCs w:val="24"/>
        </w:rPr>
        <w:t>普惠性业绩奖励</w:t>
      </w:r>
      <w:r>
        <w:rPr>
          <w:rFonts w:hint="eastAsia" w:cs="宋体" w:asciiTheme="minorEastAsia" w:hAnsiTheme="minorEastAsia"/>
          <w:kern w:val="0"/>
          <w:sz w:val="24"/>
          <w:szCs w:val="24"/>
          <w:lang w:eastAsia="zh-CN"/>
        </w:rPr>
        <w:t>。</w:t>
      </w:r>
    </w:p>
    <w:p>
      <w:pPr>
        <w:widowControl/>
        <w:spacing w:line="360" w:lineRule="auto"/>
        <w:ind w:firstLine="510"/>
        <w:jc w:val="left"/>
        <w:rPr>
          <w:rFonts w:hint="eastAsia" w:asciiTheme="minorEastAsia" w:hAnsiTheme="minorEastAsia" w:eastAsiaTheme="minorEastAsia"/>
          <w:sz w:val="24"/>
          <w:szCs w:val="24"/>
          <w:lang w:val="en-US" w:eastAsia="zh-CN"/>
        </w:rPr>
      </w:pP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w:t>
      </w:r>
      <w:r>
        <w:rPr>
          <w:rFonts w:hint="eastAsia" w:cs="宋体" w:asciiTheme="minorEastAsia" w:hAnsiTheme="minorEastAsia"/>
          <w:color w:val="000000"/>
          <w:kern w:val="0"/>
          <w:sz w:val="24"/>
          <w:szCs w:val="24"/>
          <w:u w:val="single"/>
        </w:rPr>
        <w:t>新引进博士（3年以内），不发放</w:t>
      </w:r>
      <w:r>
        <w:rPr>
          <w:rFonts w:hint="eastAsia" w:asciiTheme="minorEastAsia" w:hAnsiTheme="minorEastAsia"/>
          <w:sz w:val="24"/>
          <w:szCs w:val="24"/>
          <w:u w:val="single"/>
        </w:rPr>
        <w:t>普惠性</w:t>
      </w:r>
      <w:r>
        <w:rPr>
          <w:rFonts w:asciiTheme="minorEastAsia" w:hAnsiTheme="minorEastAsia"/>
          <w:sz w:val="24"/>
          <w:szCs w:val="24"/>
          <w:u w:val="single"/>
        </w:rPr>
        <w:t>业绩奖励</w:t>
      </w:r>
      <w:r>
        <w:rPr>
          <w:rFonts w:hint="eastAsia" w:cs="宋体" w:asciiTheme="minorEastAsia" w:hAnsiTheme="minorEastAsia"/>
          <w:color w:val="000000"/>
          <w:kern w:val="0"/>
          <w:sz w:val="24"/>
          <w:szCs w:val="24"/>
          <w:u w:val="single"/>
        </w:rPr>
        <w:t>，</w:t>
      </w:r>
      <w:r>
        <w:rPr>
          <w:rFonts w:hint="eastAsia" w:cs="宋体" w:asciiTheme="minorEastAsia" w:hAnsiTheme="minorEastAsia"/>
          <w:color w:val="000000"/>
          <w:kern w:val="0"/>
          <w:sz w:val="24"/>
          <w:szCs w:val="24"/>
          <w:u w:val="single"/>
          <w:lang w:val="en-US" w:eastAsia="zh-CN"/>
        </w:rPr>
        <w:t>其实际完成工作量均为超业绩，根据学校下发额度发放职务业绩奖励。</w:t>
      </w:r>
    </w:p>
    <w:p>
      <w:pPr>
        <w:widowControl/>
        <w:numPr>
          <w:ilvl w:val="0"/>
          <w:numId w:val="0"/>
        </w:numPr>
        <w:spacing w:line="360" w:lineRule="auto"/>
        <w:ind w:firstLine="482" w:firstLineChars="200"/>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5、</w:t>
      </w:r>
      <w:r>
        <w:rPr>
          <w:rFonts w:hint="eastAsia" w:cs="宋体" w:asciiTheme="minorEastAsia" w:hAnsiTheme="minorEastAsia"/>
          <w:color w:val="000000"/>
          <w:kern w:val="0"/>
          <w:sz w:val="24"/>
          <w:szCs w:val="24"/>
          <w:lang w:val="en-US" w:eastAsia="zh-CN"/>
        </w:rPr>
        <w:t>各项社会工作工作量补贴</w:t>
      </w:r>
    </w:p>
    <w:p>
      <w:pPr>
        <w:widowControl/>
        <w:spacing w:line="360" w:lineRule="auto"/>
        <w:ind w:firstLine="510"/>
        <w:jc w:val="left"/>
        <w:rPr>
          <w:rFonts w:hint="eastAsia" w:asciiTheme="minorEastAsia" w:hAnsiTheme="minorEastAsia" w:eastAsiaTheme="minorEastAsia"/>
          <w:sz w:val="24"/>
          <w:szCs w:val="24"/>
          <w:lang w:eastAsia="zh-CN"/>
        </w:rPr>
      </w:pPr>
      <w:r>
        <w:rPr>
          <w:rFonts w:hint="eastAsia" w:asciiTheme="minorEastAsia" w:hAnsiTheme="minorEastAsia"/>
          <w:sz w:val="24"/>
          <w:szCs w:val="24"/>
        </w:rPr>
        <w:t>（</w:t>
      </w:r>
      <w:r>
        <w:rPr>
          <w:rFonts w:hint="eastAsia" w:asciiTheme="minorEastAsia" w:hAnsiTheme="minorEastAsia"/>
          <w:sz w:val="24"/>
          <w:szCs w:val="24"/>
          <w:lang w:val="en-US" w:eastAsia="zh-CN"/>
        </w:rPr>
        <w:t>1</w:t>
      </w:r>
      <w:r>
        <w:rPr>
          <w:rFonts w:hint="eastAsia" w:asciiTheme="minorEastAsia" w:hAnsiTheme="minorEastAsia"/>
          <w:sz w:val="24"/>
          <w:szCs w:val="24"/>
        </w:rPr>
        <w:t>）正副院长</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教学科研编工会主席</w:t>
      </w:r>
      <w:r>
        <w:rPr>
          <w:rFonts w:hint="eastAsia" w:asciiTheme="minorEastAsia" w:hAnsiTheme="minorEastAsia"/>
          <w:sz w:val="24"/>
          <w:szCs w:val="24"/>
        </w:rPr>
        <w:t>按职称工作量减半</w:t>
      </w:r>
      <w:r>
        <w:rPr>
          <w:rFonts w:hint="eastAsia" w:asciiTheme="minorEastAsia" w:hAnsiTheme="minorEastAsia"/>
          <w:sz w:val="24"/>
          <w:szCs w:val="24"/>
          <w:lang w:eastAsia="zh-CN"/>
        </w:rPr>
        <w:t>。</w:t>
      </w:r>
    </w:p>
    <w:p>
      <w:pPr>
        <w:widowControl/>
        <w:spacing w:line="360" w:lineRule="auto"/>
        <w:ind w:firstLine="510"/>
        <w:jc w:val="left"/>
        <w:rPr>
          <w:rFonts w:hint="eastAsia" w:asciiTheme="minorEastAsia" w:hAnsiTheme="minorEastAsia"/>
          <w:sz w:val="24"/>
          <w:szCs w:val="24"/>
          <w:lang w:val="en-US" w:eastAsia="zh-CN"/>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w:t>
      </w:r>
      <w:r>
        <w:rPr>
          <w:rFonts w:hint="eastAsia" w:asciiTheme="minorEastAsia" w:hAnsiTheme="minorEastAsia"/>
          <w:sz w:val="24"/>
          <w:szCs w:val="24"/>
          <w:lang w:val="en-US" w:eastAsia="zh-CN"/>
        </w:rPr>
        <w:t>院长助理、系主任、党支部书记（兼任系副主任）、教学科研编实验中心主任工作量减免35%；</w:t>
      </w:r>
      <w:r>
        <w:rPr>
          <w:rFonts w:hint="eastAsia" w:asciiTheme="minorEastAsia" w:hAnsiTheme="minorEastAsia"/>
          <w:sz w:val="24"/>
          <w:szCs w:val="24"/>
          <w:lang w:val="en-US" w:eastAsia="zh-CN"/>
        </w:rPr>
        <w:t>系副主任减免25%。</w:t>
      </w:r>
    </w:p>
    <w:p>
      <w:pPr>
        <w:widowControl/>
        <w:spacing w:line="360" w:lineRule="auto"/>
        <w:ind w:firstLine="510"/>
        <w:jc w:val="left"/>
        <w:rPr>
          <w:rFonts w:hint="eastAsia" w:asciiTheme="minorEastAsia" w:hAnsiTheme="minorEastAsia"/>
          <w:sz w:val="24"/>
          <w:szCs w:val="24"/>
          <w:lang w:val="en-US" w:eastAsia="zh-CN"/>
        </w:rPr>
      </w:pPr>
      <w:r>
        <w:rPr>
          <w:rFonts w:hint="eastAsia" w:asciiTheme="minorEastAsia" w:hAnsiTheme="minorEastAsia"/>
          <w:sz w:val="24"/>
          <w:szCs w:val="24"/>
        </w:rPr>
        <w:t>（</w:t>
      </w:r>
      <w:r>
        <w:rPr>
          <w:rFonts w:hint="eastAsia" w:asciiTheme="minorEastAsia" w:hAnsiTheme="minorEastAsia"/>
          <w:sz w:val="24"/>
          <w:szCs w:val="24"/>
          <w:lang w:val="en-US" w:eastAsia="zh-CN"/>
        </w:rPr>
        <w:t>3</w:t>
      </w:r>
      <w:r>
        <w:rPr>
          <w:rFonts w:hint="eastAsia" w:asciiTheme="minorEastAsia" w:hAnsiTheme="minorEastAsia"/>
          <w:sz w:val="24"/>
          <w:szCs w:val="24"/>
        </w:rPr>
        <w:t>）</w:t>
      </w:r>
      <w:r>
        <w:rPr>
          <w:rFonts w:hint="eastAsia" w:asciiTheme="minorEastAsia" w:hAnsiTheme="minorEastAsia"/>
          <w:sz w:val="24"/>
          <w:szCs w:val="24"/>
          <w:lang w:val="en-US" w:eastAsia="zh-CN"/>
        </w:rPr>
        <w:t>非教学科研编</w:t>
      </w:r>
      <w:r>
        <w:rPr>
          <w:rFonts w:hint="eastAsia" w:asciiTheme="minorEastAsia" w:hAnsiTheme="minorEastAsia"/>
          <w:sz w:val="24"/>
          <w:szCs w:val="24"/>
        </w:rPr>
        <w:t>工会主席</w:t>
      </w:r>
      <w:r>
        <w:rPr>
          <w:rFonts w:hint="eastAsia" w:asciiTheme="minorEastAsia" w:hAnsiTheme="minorEastAsia"/>
          <w:sz w:val="24"/>
          <w:szCs w:val="24"/>
          <w:lang w:val="en-US" w:eastAsia="zh-CN"/>
        </w:rPr>
        <w:t>按照1.25的系数计算，与原职级系数计算的绩效差额从学院创收部分予以补助。</w:t>
      </w:r>
    </w:p>
    <w:p>
      <w:pPr>
        <w:widowControl/>
        <w:spacing w:line="360" w:lineRule="auto"/>
        <w:ind w:firstLine="510"/>
        <w:jc w:val="left"/>
        <w:rPr>
          <w:rFonts w:hint="eastAsia" w:asciiTheme="minorEastAsia" w:hAnsiTheme="minorEastAsia"/>
          <w:sz w:val="24"/>
          <w:szCs w:val="24"/>
          <w:lang w:val="en-US" w:eastAsia="zh-CN"/>
        </w:rPr>
      </w:pPr>
      <w:r>
        <w:rPr>
          <w:rFonts w:hint="eastAsia" w:asciiTheme="minorEastAsia" w:hAnsiTheme="minorEastAsia"/>
          <w:sz w:val="24"/>
          <w:szCs w:val="24"/>
        </w:rPr>
        <w:t>（</w:t>
      </w:r>
      <w:r>
        <w:rPr>
          <w:rFonts w:hint="eastAsia" w:asciiTheme="minorEastAsia" w:hAnsiTheme="minorEastAsia"/>
          <w:sz w:val="24"/>
          <w:szCs w:val="24"/>
          <w:lang w:val="en-US" w:eastAsia="zh-CN"/>
        </w:rPr>
        <w:t>4</w:t>
      </w:r>
      <w:r>
        <w:rPr>
          <w:rFonts w:hint="eastAsia" w:asciiTheme="minorEastAsia" w:hAnsiTheme="minorEastAsia"/>
          <w:sz w:val="24"/>
          <w:szCs w:val="24"/>
        </w:rPr>
        <w:t>）</w:t>
      </w:r>
      <w:r>
        <w:rPr>
          <w:rFonts w:hint="eastAsia" w:asciiTheme="minorEastAsia" w:hAnsiTheme="minorEastAsia"/>
          <w:sz w:val="24"/>
          <w:szCs w:val="24"/>
          <w:lang w:val="en-US" w:eastAsia="zh-CN"/>
        </w:rPr>
        <w:t>班主任减免30个</w:t>
      </w:r>
      <w:r>
        <w:rPr>
          <w:rFonts w:hint="eastAsia" w:asciiTheme="minorEastAsia" w:hAnsiTheme="minorEastAsia"/>
          <w:sz w:val="24"/>
          <w:szCs w:val="24"/>
          <w:lang w:val="en-US" w:eastAsia="zh-CN"/>
        </w:rPr>
        <w:t>工作量，院学术委员会秘书减免20个</w:t>
      </w:r>
      <w:r>
        <w:rPr>
          <w:rFonts w:hint="eastAsia" w:asciiTheme="minorEastAsia" w:hAnsiTheme="minorEastAsia"/>
          <w:sz w:val="24"/>
          <w:szCs w:val="24"/>
          <w:lang w:val="en-US" w:eastAsia="zh-CN"/>
        </w:rPr>
        <w:t>工作量。</w:t>
      </w:r>
    </w:p>
    <w:p>
      <w:pPr>
        <w:widowControl/>
        <w:spacing w:line="360" w:lineRule="auto"/>
        <w:ind w:firstLine="510"/>
        <w:jc w:val="left"/>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5</w:t>
      </w:r>
      <w:r>
        <w:rPr>
          <w:rFonts w:hint="eastAsia" w:asciiTheme="minorEastAsia" w:hAnsiTheme="minorEastAsia"/>
          <w:sz w:val="24"/>
          <w:szCs w:val="24"/>
        </w:rPr>
        <w:t>）</w:t>
      </w:r>
      <w:r>
        <w:rPr>
          <w:rFonts w:hint="eastAsia" w:asciiTheme="minorEastAsia" w:hAnsiTheme="minorEastAsia"/>
          <w:sz w:val="24"/>
          <w:szCs w:val="24"/>
          <w:lang w:val="en-US" w:eastAsia="zh-CN"/>
        </w:rPr>
        <w:t>其余岗位补助</w:t>
      </w:r>
      <w:r>
        <w:rPr>
          <w:rFonts w:hint="eastAsia" w:asciiTheme="minorEastAsia" w:hAnsiTheme="minorEastAsia"/>
          <w:sz w:val="24"/>
          <w:szCs w:val="24"/>
        </w:rPr>
        <w:t>根据实际工作情况，由学院党政例会讨论，予以相应补贴。</w:t>
      </w:r>
    </w:p>
    <w:p>
      <w:pPr>
        <w:widowControl/>
        <w:spacing w:line="360" w:lineRule="auto"/>
        <w:ind w:firstLine="480" w:firstLineChars="200"/>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6、超工作量业绩奖励要求：教学科研人员超额完成定额工作量的部分即发放超业绩奖励。根据超额工作量计算每人的实际超业绩奖励金额。</w:t>
      </w:r>
    </w:p>
    <w:p>
      <w:pPr>
        <w:widowControl/>
        <w:spacing w:line="360" w:lineRule="auto"/>
        <w:ind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7、个人的</w:t>
      </w:r>
      <w:r>
        <w:rPr>
          <w:rFonts w:hint="eastAsia" w:asciiTheme="minorEastAsia" w:hAnsiTheme="minorEastAsia"/>
          <w:sz w:val="24"/>
          <w:szCs w:val="24"/>
        </w:rPr>
        <w:t>普惠性</w:t>
      </w:r>
      <w:r>
        <w:rPr>
          <w:rFonts w:asciiTheme="minorEastAsia" w:hAnsiTheme="minorEastAsia"/>
          <w:sz w:val="24"/>
          <w:szCs w:val="24"/>
        </w:rPr>
        <w:t>业绩奖励</w:t>
      </w:r>
      <w:r>
        <w:rPr>
          <w:rFonts w:hint="eastAsia" w:asciiTheme="minorEastAsia" w:hAnsiTheme="minorEastAsia"/>
          <w:sz w:val="24"/>
          <w:szCs w:val="24"/>
          <w:lang w:val="en-US" w:eastAsia="zh-CN"/>
        </w:rPr>
        <w:t>加上超业绩奖励即为教学科研人员当年度的职务业绩奖励。</w:t>
      </w:r>
    </w:p>
    <w:p>
      <w:pPr>
        <w:spacing w:line="312" w:lineRule="auto"/>
        <w:rPr>
          <w:rFonts w:hint="eastAsia" w:cs="宋体" w:asciiTheme="minorEastAsia" w:hAnsiTheme="minorEastAsia" w:eastAsiaTheme="minorEastAsia"/>
          <w:b/>
          <w:spacing w:val="-6"/>
          <w:kern w:val="0"/>
          <w:sz w:val="24"/>
          <w:szCs w:val="24"/>
          <w:lang w:val="en-US" w:eastAsia="zh-CN"/>
        </w:rPr>
      </w:pPr>
      <w:r>
        <w:rPr>
          <w:rFonts w:hint="eastAsia" w:cs="宋体" w:asciiTheme="minorEastAsia" w:hAnsiTheme="minorEastAsia"/>
          <w:b/>
          <w:spacing w:val="-6"/>
          <w:kern w:val="0"/>
          <w:sz w:val="24"/>
          <w:szCs w:val="24"/>
          <w:u w:val="single"/>
        </w:rPr>
        <w:t>（二）思政人员</w:t>
      </w:r>
    </w:p>
    <w:p>
      <w:pPr>
        <w:widowControl/>
        <w:spacing w:line="360" w:lineRule="auto"/>
        <w:ind w:firstLine="510"/>
        <w:jc w:val="left"/>
        <w:rPr>
          <w:rFonts w:asciiTheme="minorEastAsia" w:hAnsiTheme="minorEastAsia"/>
          <w:sz w:val="24"/>
          <w:szCs w:val="24"/>
        </w:rPr>
      </w:pPr>
      <w:r>
        <w:rPr>
          <w:rFonts w:hint="eastAsia" w:cs="宋体" w:asciiTheme="minorEastAsia" w:hAnsiTheme="minorEastAsia"/>
          <w:color w:val="000000"/>
          <w:kern w:val="0"/>
          <w:sz w:val="24"/>
          <w:szCs w:val="24"/>
        </w:rPr>
        <w:t>思政人员</w:t>
      </w:r>
      <w:r>
        <w:rPr>
          <w:rFonts w:hint="eastAsia" w:cs="宋体" w:asciiTheme="minorEastAsia" w:hAnsiTheme="minorEastAsia"/>
          <w:color w:val="000000"/>
          <w:kern w:val="0"/>
          <w:sz w:val="24"/>
          <w:szCs w:val="24"/>
          <w:lang w:val="en-US" w:eastAsia="zh-CN"/>
        </w:rPr>
        <w:t>奖励性绩效发放</w:t>
      </w:r>
      <w:r>
        <w:rPr>
          <w:rFonts w:hint="eastAsia" w:asciiTheme="minorEastAsia" w:hAnsiTheme="minorEastAsia"/>
          <w:kern w:val="0"/>
          <w:sz w:val="24"/>
          <w:szCs w:val="24"/>
        </w:rPr>
        <w:t>根据学校规定下拨的经费</w:t>
      </w:r>
      <w:r>
        <w:rPr>
          <w:rFonts w:hint="eastAsia" w:cs="宋体" w:asciiTheme="minorEastAsia" w:hAnsiTheme="minorEastAsia"/>
          <w:color w:val="000000"/>
          <w:kern w:val="0"/>
          <w:sz w:val="24"/>
          <w:szCs w:val="24"/>
        </w:rPr>
        <w:t>依据本年度《福州大学辅导员工作考核方案》来进行</w:t>
      </w:r>
      <w:r>
        <w:rPr>
          <w:rFonts w:hint="eastAsia" w:cs="宋体" w:asciiTheme="minorEastAsia" w:hAnsiTheme="minorEastAsia"/>
          <w:color w:val="000000"/>
          <w:kern w:val="0"/>
          <w:sz w:val="24"/>
          <w:szCs w:val="24"/>
          <w:lang w:val="en-US" w:eastAsia="zh-CN"/>
        </w:rPr>
        <w:t>分配</w:t>
      </w:r>
      <w:r>
        <w:rPr>
          <w:rFonts w:hint="eastAsia" w:cs="宋体" w:asciiTheme="minorEastAsia" w:hAnsiTheme="minorEastAsia"/>
          <w:color w:val="000000"/>
          <w:kern w:val="0"/>
          <w:sz w:val="24"/>
          <w:szCs w:val="24"/>
        </w:rPr>
        <w:t>，主要包括指导学生成长、服务学生成才以及完成各项工作的效率、质量、效果和为校院争得的荣誉等</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由</w:t>
      </w:r>
      <w:r>
        <w:rPr>
          <w:rFonts w:hint="eastAsia" w:cs="宋体" w:asciiTheme="minorEastAsia" w:hAnsiTheme="minorEastAsia"/>
          <w:color w:val="000000"/>
          <w:kern w:val="0"/>
          <w:sz w:val="24"/>
          <w:szCs w:val="24"/>
        </w:rPr>
        <w:t>学工组提交分配方案进行分配。</w:t>
      </w:r>
    </w:p>
    <w:p>
      <w:pPr>
        <w:widowControl/>
        <w:spacing w:line="480" w:lineRule="auto"/>
        <w:jc w:val="left"/>
        <w:rPr>
          <w:rFonts w:hint="eastAsia" w:cs="宋体" w:asciiTheme="minorEastAsia" w:hAnsiTheme="minorEastAsia" w:eastAsiaTheme="minorEastAsia"/>
          <w:b/>
          <w:spacing w:val="-6"/>
          <w:kern w:val="0"/>
          <w:sz w:val="24"/>
          <w:szCs w:val="24"/>
          <w:lang w:val="en-US" w:eastAsia="zh-CN"/>
        </w:rPr>
      </w:pPr>
      <w:r>
        <w:rPr>
          <w:rFonts w:hint="eastAsia" w:cs="宋体" w:asciiTheme="minorEastAsia" w:hAnsiTheme="minorEastAsia"/>
          <w:b/>
          <w:spacing w:val="-6"/>
          <w:kern w:val="0"/>
          <w:sz w:val="24"/>
          <w:szCs w:val="24"/>
        </w:rPr>
        <w:t>（三）管理、教辅、工勤人员</w:t>
      </w:r>
    </w:p>
    <w:p>
      <w:pPr>
        <w:spacing w:line="360" w:lineRule="auto"/>
        <w:ind w:firstLine="480" w:firstLineChars="200"/>
        <w:rPr>
          <w:rFonts w:asciiTheme="minorEastAsia" w:hAnsiTheme="minorEastAsia"/>
          <w:kern w:val="0"/>
          <w:sz w:val="24"/>
          <w:szCs w:val="24"/>
        </w:rPr>
      </w:pPr>
      <w:r>
        <w:rPr>
          <w:rFonts w:hint="eastAsia" w:asciiTheme="minorEastAsia" w:hAnsiTheme="minorEastAsia"/>
          <w:kern w:val="0"/>
          <w:sz w:val="24"/>
          <w:szCs w:val="24"/>
          <w:lang w:val="en-US" w:eastAsia="zh-CN"/>
        </w:rPr>
        <w:t>1、</w:t>
      </w:r>
      <w:r>
        <w:rPr>
          <w:rFonts w:hint="eastAsia" w:asciiTheme="minorEastAsia" w:hAnsiTheme="minorEastAsia"/>
          <w:kern w:val="0"/>
          <w:sz w:val="24"/>
          <w:szCs w:val="24"/>
        </w:rPr>
        <w:t>管理、教辅、工勤人员根据学校文件精神，处级及以下管理的业绩奖励权重系数根据管理人员的不同职级、责任大小和其他专技人员的实际工作情况核定统筹计算，并分成教辅人员奖励性绩效、管理工勤人员奖励性绩效两块进行二次分配，并报学院党政例会通过后发放。（</w:t>
      </w:r>
      <w:r>
        <w:rPr>
          <w:rFonts w:hint="eastAsia" w:cs="仿宋" w:asciiTheme="minorEastAsia" w:hAnsiTheme="minorEastAsia"/>
          <w:spacing w:val="-6"/>
          <w:kern w:val="0"/>
          <w:sz w:val="24"/>
          <w:szCs w:val="24"/>
          <w:lang w:val="zh-CN"/>
        </w:rPr>
        <w:t>具体见下表）：</w:t>
      </w:r>
    </w:p>
    <w:tbl>
      <w:tblPr>
        <w:tblStyle w:val="3"/>
        <w:tblW w:w="9772" w:type="dxa"/>
        <w:jc w:val="center"/>
        <w:tblInd w:w="0" w:type="dxa"/>
        <w:tblLayout w:type="fixed"/>
        <w:tblCellMar>
          <w:top w:w="0" w:type="dxa"/>
          <w:left w:w="108" w:type="dxa"/>
          <w:bottom w:w="0" w:type="dxa"/>
          <w:right w:w="108" w:type="dxa"/>
        </w:tblCellMar>
      </w:tblPr>
      <w:tblGrid>
        <w:gridCol w:w="791"/>
        <w:gridCol w:w="671"/>
        <w:gridCol w:w="754"/>
        <w:gridCol w:w="705"/>
        <w:gridCol w:w="765"/>
        <w:gridCol w:w="660"/>
        <w:gridCol w:w="616"/>
        <w:gridCol w:w="731"/>
        <w:gridCol w:w="798"/>
        <w:gridCol w:w="950"/>
        <w:gridCol w:w="768"/>
        <w:gridCol w:w="832"/>
        <w:gridCol w:w="731"/>
      </w:tblGrid>
      <w:tr>
        <w:tblPrEx>
          <w:tblLayout w:type="fixed"/>
          <w:tblCellMar>
            <w:top w:w="0" w:type="dxa"/>
            <w:left w:w="108" w:type="dxa"/>
            <w:bottom w:w="0" w:type="dxa"/>
            <w:right w:w="108" w:type="dxa"/>
          </w:tblCellMar>
        </w:tblPrEx>
        <w:trPr>
          <w:trHeight w:val="1715" w:hRule="atLeast"/>
          <w:jc w:val="center"/>
        </w:trPr>
        <w:tc>
          <w:tcPr>
            <w:tcW w:w="791"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both"/>
              <w:rPr>
                <w:rFonts w:cs="宋体" w:asciiTheme="minorEastAsia" w:hAnsiTheme="minorEastAsia"/>
                <w:kern w:val="0"/>
                <w:sz w:val="24"/>
                <w:szCs w:val="24"/>
                <w:lang w:val="zh-CN"/>
              </w:rPr>
            </w:pPr>
            <w:r>
              <w:rPr>
                <w:rFonts w:hint="eastAsia" w:cs="仿宋" w:asciiTheme="minorEastAsia" w:hAnsiTheme="minorEastAsia"/>
                <w:kern w:val="0"/>
                <w:sz w:val="24"/>
                <w:szCs w:val="24"/>
                <w:lang w:val="zh-CN"/>
              </w:rPr>
              <w:t>岗位</w:t>
            </w:r>
          </w:p>
        </w:tc>
        <w:tc>
          <w:tcPr>
            <w:tcW w:w="671" w:type="dxa"/>
            <w:tcBorders>
              <w:top w:val="single" w:color="000000" w:sz="2"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正处</w:t>
            </w:r>
          </w:p>
          <w:p>
            <w:pPr>
              <w:autoSpaceDE w:val="0"/>
              <w:autoSpaceDN w:val="0"/>
              <w:adjustRightInd w:val="0"/>
              <w:spacing w:line="260" w:lineRule="exact"/>
              <w:ind w:firstLine="240" w:firstLineChars="100"/>
              <w:rPr>
                <w:rFonts w:cs="仿宋" w:asciiTheme="minorEastAsia" w:hAnsiTheme="minorEastAsia"/>
                <w:kern w:val="0"/>
                <w:sz w:val="24"/>
                <w:szCs w:val="24"/>
                <w:lang w:val="zh-CN"/>
              </w:rPr>
            </w:pPr>
          </w:p>
        </w:tc>
        <w:tc>
          <w:tcPr>
            <w:tcW w:w="754" w:type="dxa"/>
            <w:tcBorders>
              <w:top w:val="single" w:color="000000" w:sz="2"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五级职员</w:t>
            </w:r>
          </w:p>
        </w:tc>
        <w:tc>
          <w:tcPr>
            <w:tcW w:w="705" w:type="dxa"/>
            <w:tcBorders>
              <w:top w:val="single" w:color="000000" w:sz="2"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正高职称</w:t>
            </w:r>
          </w:p>
        </w:tc>
        <w:tc>
          <w:tcPr>
            <w:tcW w:w="765" w:type="dxa"/>
            <w:tcBorders>
              <w:top w:val="single" w:color="000000" w:sz="2"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副处</w:t>
            </w:r>
          </w:p>
        </w:tc>
        <w:tc>
          <w:tcPr>
            <w:tcW w:w="660" w:type="dxa"/>
            <w:tcBorders>
              <w:top w:val="single" w:color="000000" w:sz="2"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六级职员</w:t>
            </w:r>
          </w:p>
        </w:tc>
        <w:tc>
          <w:tcPr>
            <w:tcW w:w="616" w:type="dxa"/>
            <w:tcBorders>
              <w:top w:val="single" w:color="000000" w:sz="2"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副高</w:t>
            </w:r>
          </w:p>
          <w:p>
            <w:pPr>
              <w:autoSpaceDE w:val="0"/>
              <w:autoSpaceDN w:val="0"/>
              <w:adjustRightInd w:val="0"/>
              <w:spacing w:line="260" w:lineRule="exact"/>
              <w:rPr>
                <w:rFonts w:cs="仿宋" w:asciiTheme="minorEastAsia" w:hAnsiTheme="minorEastAsia"/>
                <w:kern w:val="0"/>
                <w:sz w:val="24"/>
                <w:szCs w:val="24"/>
                <w:lang w:val="zh-CN"/>
              </w:rPr>
            </w:pPr>
            <w:r>
              <w:rPr>
                <w:rFonts w:hint="eastAsia" w:cs="宋体" w:asciiTheme="minorEastAsia" w:hAnsiTheme="minorEastAsia"/>
                <w:kern w:val="0"/>
                <w:sz w:val="24"/>
                <w:szCs w:val="24"/>
                <w:lang w:val="zh-CN"/>
              </w:rPr>
              <w:t>职称</w:t>
            </w:r>
          </w:p>
        </w:tc>
        <w:tc>
          <w:tcPr>
            <w:tcW w:w="731" w:type="dxa"/>
            <w:tcBorders>
              <w:top w:val="single" w:color="000000" w:sz="2"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科级</w:t>
            </w:r>
          </w:p>
        </w:tc>
        <w:tc>
          <w:tcPr>
            <w:tcW w:w="798" w:type="dxa"/>
            <w:tcBorders>
              <w:top w:val="single" w:color="000000" w:sz="2" w:space="0"/>
              <w:left w:val="single" w:color="auto" w:sz="4"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both"/>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kern w:val="0"/>
                <w:sz w:val="24"/>
                <w:szCs w:val="24"/>
                <w:lang w:val="en-US" w:eastAsia="zh-CN"/>
              </w:rPr>
              <w:t>七级职员</w:t>
            </w:r>
          </w:p>
        </w:tc>
        <w:tc>
          <w:tcPr>
            <w:tcW w:w="950" w:type="dxa"/>
            <w:tcBorders>
              <w:top w:val="single" w:color="000000" w:sz="2" w:space="0"/>
              <w:left w:val="single" w:color="auto" w:sz="4"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both"/>
              <w:rPr>
                <w:rFonts w:cs="宋体" w:asciiTheme="minorEastAsia" w:hAnsiTheme="minorEastAsia"/>
                <w:kern w:val="0"/>
                <w:sz w:val="24"/>
                <w:szCs w:val="24"/>
                <w:lang w:val="zh-CN"/>
              </w:rPr>
            </w:pPr>
            <w:r>
              <w:rPr>
                <w:rFonts w:hint="eastAsia" w:cs="仿宋" w:asciiTheme="minorEastAsia" w:hAnsiTheme="minorEastAsia"/>
                <w:kern w:val="0"/>
                <w:sz w:val="24"/>
                <w:szCs w:val="24"/>
                <w:lang w:val="zh-CN"/>
              </w:rPr>
              <w:t>中级职称、高级技师</w:t>
            </w:r>
          </w:p>
        </w:tc>
        <w:tc>
          <w:tcPr>
            <w:tcW w:w="768" w:type="dxa"/>
            <w:tcBorders>
              <w:top w:val="single" w:color="000000" w:sz="2"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jc w:val="center"/>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kern w:val="0"/>
                <w:sz w:val="24"/>
                <w:szCs w:val="24"/>
                <w:lang w:val="en-US" w:eastAsia="zh-CN"/>
              </w:rPr>
              <w:t>八级职员</w:t>
            </w:r>
          </w:p>
        </w:tc>
        <w:tc>
          <w:tcPr>
            <w:tcW w:w="832" w:type="dxa"/>
            <w:tcBorders>
              <w:top w:val="single" w:color="000000" w:sz="2"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jc w:val="both"/>
              <w:rPr>
                <w:rFonts w:cs="宋体" w:asciiTheme="minorEastAsia" w:hAnsiTheme="minorEastAsia"/>
                <w:kern w:val="0"/>
                <w:sz w:val="24"/>
                <w:szCs w:val="24"/>
                <w:lang w:val="zh-CN"/>
              </w:rPr>
            </w:pPr>
            <w:r>
              <w:rPr>
                <w:rFonts w:hint="eastAsia" w:cs="仿宋" w:asciiTheme="minorEastAsia" w:hAnsiTheme="minorEastAsia"/>
                <w:kern w:val="0"/>
                <w:sz w:val="24"/>
                <w:szCs w:val="24"/>
                <w:lang w:val="zh-CN"/>
              </w:rPr>
              <w:t>科 员、初级职称、技师</w:t>
            </w:r>
          </w:p>
        </w:tc>
        <w:tc>
          <w:tcPr>
            <w:tcW w:w="731" w:type="dxa"/>
            <w:tcBorders>
              <w:top w:val="single" w:color="000000" w:sz="2" w:space="0"/>
              <w:left w:val="single" w:color="auto" w:sz="4" w:space="0"/>
              <w:bottom w:val="single" w:color="auto" w:sz="4" w:space="0"/>
              <w:right w:val="single" w:color="000000" w:sz="2" w:space="0"/>
            </w:tcBorders>
            <w:shd w:val="clear" w:color="000000" w:fill="FFFFFF"/>
            <w:vAlign w:val="center"/>
          </w:tcPr>
          <w:p>
            <w:pPr>
              <w:autoSpaceDE w:val="0"/>
              <w:autoSpaceDN w:val="0"/>
              <w:adjustRightInd w:val="0"/>
              <w:spacing w:line="260" w:lineRule="exact"/>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中级工</w:t>
            </w:r>
          </w:p>
          <w:p>
            <w:pPr>
              <w:autoSpaceDE w:val="0"/>
              <w:autoSpaceDN w:val="0"/>
              <w:adjustRightInd w:val="0"/>
              <w:spacing w:line="260" w:lineRule="exact"/>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及以下</w:t>
            </w:r>
          </w:p>
        </w:tc>
      </w:tr>
      <w:tr>
        <w:tblPrEx>
          <w:tblLayout w:type="fixed"/>
          <w:tblCellMar>
            <w:top w:w="0" w:type="dxa"/>
            <w:left w:w="108" w:type="dxa"/>
            <w:bottom w:w="0" w:type="dxa"/>
            <w:right w:w="108" w:type="dxa"/>
          </w:tblCellMar>
        </w:tblPrEx>
        <w:trPr>
          <w:trHeight w:val="700" w:hRule="atLeast"/>
          <w:jc w:val="center"/>
        </w:trPr>
        <w:tc>
          <w:tcPr>
            <w:tcW w:w="791" w:type="dxa"/>
            <w:tcBorders>
              <w:top w:val="single" w:color="auto" w:sz="4"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center"/>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权重系数</w:t>
            </w:r>
          </w:p>
        </w:tc>
        <w:tc>
          <w:tcPr>
            <w:tcW w:w="671" w:type="dxa"/>
            <w:tcBorders>
              <w:top w:val="single" w:color="auto" w:sz="4"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1.5</w:t>
            </w:r>
          </w:p>
        </w:tc>
        <w:tc>
          <w:tcPr>
            <w:tcW w:w="754"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jc w:val="both"/>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1.35</w:t>
            </w:r>
          </w:p>
        </w:tc>
        <w:tc>
          <w:tcPr>
            <w:tcW w:w="705"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jc w:val="both"/>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1.3</w:t>
            </w:r>
          </w:p>
        </w:tc>
        <w:tc>
          <w:tcPr>
            <w:tcW w:w="765"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jc w:val="both"/>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1.25</w:t>
            </w:r>
          </w:p>
        </w:tc>
        <w:tc>
          <w:tcPr>
            <w:tcW w:w="660"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kern w:val="0"/>
                <w:sz w:val="24"/>
                <w:szCs w:val="24"/>
                <w:lang w:val="en-US" w:eastAsia="zh-CN"/>
              </w:rPr>
              <w:t>1.1</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1.1</w:t>
            </w:r>
          </w:p>
        </w:tc>
        <w:tc>
          <w:tcPr>
            <w:tcW w:w="731" w:type="dxa"/>
            <w:tcBorders>
              <w:top w:val="single" w:color="auto" w:sz="4"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1.0</w:t>
            </w:r>
          </w:p>
        </w:tc>
        <w:tc>
          <w:tcPr>
            <w:tcW w:w="798" w:type="dxa"/>
            <w:tcBorders>
              <w:top w:val="single" w:color="auto" w:sz="4" w:space="0"/>
              <w:left w:val="single" w:color="auto" w:sz="4"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both"/>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0.9</w:t>
            </w:r>
          </w:p>
        </w:tc>
        <w:tc>
          <w:tcPr>
            <w:tcW w:w="950" w:type="dxa"/>
            <w:tcBorders>
              <w:top w:val="single" w:color="auto" w:sz="4" w:space="0"/>
              <w:left w:val="single" w:color="auto" w:sz="4"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both"/>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0.9</w:t>
            </w:r>
          </w:p>
        </w:tc>
        <w:tc>
          <w:tcPr>
            <w:tcW w:w="768" w:type="dxa"/>
            <w:tcBorders>
              <w:top w:val="single" w:color="auto" w:sz="4"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jc w:val="both"/>
              <w:rPr>
                <w:rFonts w:hint="eastAsia" w:cs="仿宋" w:asciiTheme="minorEastAsia" w:hAnsiTheme="minorEastAsia" w:eastAsiaTheme="minorEastAsia"/>
                <w:kern w:val="0"/>
                <w:sz w:val="24"/>
                <w:szCs w:val="24"/>
                <w:lang w:val="en-US" w:eastAsia="zh-CN"/>
              </w:rPr>
            </w:pPr>
            <w:r>
              <w:rPr>
                <w:rFonts w:hint="eastAsia" w:cs="仿宋" w:asciiTheme="minorEastAsia" w:hAnsiTheme="minorEastAsia"/>
                <w:kern w:val="0"/>
                <w:sz w:val="24"/>
                <w:szCs w:val="24"/>
                <w:lang w:val="en-US" w:eastAsia="zh-CN"/>
              </w:rPr>
              <w:t>0.85</w:t>
            </w:r>
          </w:p>
        </w:tc>
        <w:tc>
          <w:tcPr>
            <w:tcW w:w="832" w:type="dxa"/>
            <w:tcBorders>
              <w:top w:val="single" w:color="auto" w:sz="4" w:space="0"/>
              <w:left w:val="single" w:color="000000" w:sz="2" w:space="0"/>
              <w:bottom w:val="single" w:color="auto" w:sz="4" w:space="0"/>
              <w:right w:val="single" w:color="auto" w:sz="4" w:space="0"/>
            </w:tcBorders>
            <w:shd w:val="clear" w:color="000000" w:fill="FFFFFF"/>
            <w:vAlign w:val="center"/>
          </w:tcPr>
          <w:p>
            <w:pPr>
              <w:autoSpaceDE w:val="0"/>
              <w:autoSpaceDN w:val="0"/>
              <w:adjustRightInd w:val="0"/>
              <w:spacing w:line="260" w:lineRule="exact"/>
              <w:jc w:val="both"/>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0.8</w:t>
            </w:r>
          </w:p>
        </w:tc>
        <w:tc>
          <w:tcPr>
            <w:tcW w:w="731" w:type="dxa"/>
            <w:tcBorders>
              <w:top w:val="single" w:color="auto" w:sz="4" w:space="0"/>
              <w:left w:val="single" w:color="auto" w:sz="4" w:space="0"/>
              <w:bottom w:val="single" w:color="auto" w:sz="4" w:space="0"/>
              <w:right w:val="single" w:color="000000" w:sz="2" w:space="0"/>
            </w:tcBorders>
            <w:shd w:val="clear" w:color="000000" w:fill="FFFFFF"/>
            <w:vAlign w:val="center"/>
          </w:tcPr>
          <w:p>
            <w:pPr>
              <w:autoSpaceDE w:val="0"/>
              <w:autoSpaceDN w:val="0"/>
              <w:adjustRightInd w:val="0"/>
              <w:spacing w:line="260" w:lineRule="exact"/>
              <w:jc w:val="both"/>
              <w:rPr>
                <w:rFonts w:cs="仿宋" w:asciiTheme="minorEastAsia" w:hAnsiTheme="minorEastAsia"/>
                <w:kern w:val="0"/>
                <w:sz w:val="24"/>
                <w:szCs w:val="24"/>
                <w:lang w:val="zh-CN"/>
              </w:rPr>
            </w:pPr>
            <w:r>
              <w:rPr>
                <w:rFonts w:hint="eastAsia" w:cs="仿宋" w:asciiTheme="minorEastAsia" w:hAnsiTheme="minorEastAsia"/>
                <w:kern w:val="0"/>
                <w:sz w:val="24"/>
                <w:szCs w:val="24"/>
                <w:lang w:val="zh-CN"/>
              </w:rPr>
              <w:t>0.5</w:t>
            </w:r>
          </w:p>
        </w:tc>
      </w:tr>
    </w:tbl>
    <w:p>
      <w:pPr>
        <w:spacing w:line="360" w:lineRule="auto"/>
        <w:ind w:firstLine="480" w:firstLineChars="200"/>
        <w:rPr>
          <w:rFonts w:cs="宋体" w:asciiTheme="minorEastAsia" w:hAnsiTheme="minorEastAsia"/>
          <w:color w:val="FF0000"/>
          <w:kern w:val="0"/>
          <w:sz w:val="24"/>
          <w:szCs w:val="24"/>
        </w:rPr>
      </w:pPr>
      <w:r>
        <w:rPr>
          <w:rFonts w:hint="eastAsia" w:cs="宋体" w:asciiTheme="minorEastAsia" w:hAnsiTheme="minorEastAsia"/>
          <w:color w:val="000000"/>
          <w:kern w:val="0"/>
          <w:sz w:val="24"/>
          <w:szCs w:val="24"/>
        </w:rPr>
        <w:t>2、管理、工勤人员奖励性绩效发放主要依据本年度考核测评来进行。</w:t>
      </w:r>
      <w:r>
        <w:rPr>
          <w:rFonts w:hint="eastAsia" w:asciiTheme="minorEastAsia" w:hAnsiTheme="minorEastAsia"/>
          <w:color w:val="000000"/>
          <w:sz w:val="24"/>
          <w:szCs w:val="24"/>
        </w:rPr>
        <w:t>考核内容包括德、能、勤、绩、廉五个方面，重点考核工作业绩，在履行岗位职责，完成工作任务过程中，能否取得上级、群众和同行公认的成果。</w:t>
      </w:r>
    </w:p>
    <w:p>
      <w:pPr>
        <w:widowControl/>
        <w:spacing w:line="480" w:lineRule="auto"/>
        <w:jc w:val="left"/>
        <w:rPr>
          <w:rFonts w:cs="宋体" w:asciiTheme="minorEastAsia" w:hAnsiTheme="minorEastAsia"/>
          <w:b/>
          <w:color w:val="000000"/>
          <w:kern w:val="0"/>
          <w:sz w:val="24"/>
          <w:szCs w:val="24"/>
        </w:rPr>
      </w:pPr>
      <w:r>
        <w:rPr>
          <w:rFonts w:hint="eastAsia" w:cs="宋体" w:asciiTheme="minorEastAsia" w:hAnsiTheme="minorEastAsia"/>
          <w:b/>
          <w:spacing w:val="-6"/>
          <w:kern w:val="0"/>
          <w:sz w:val="24"/>
          <w:szCs w:val="24"/>
        </w:rPr>
        <w:t>六 、标志性成果奖励</w:t>
      </w:r>
    </w:p>
    <w:p>
      <w:pPr>
        <w:widowControl/>
        <w:spacing w:line="360" w:lineRule="auto"/>
        <w:ind w:firstLine="464" w:firstLineChars="200"/>
        <w:rPr>
          <w:rFonts w:cs="宋体" w:asciiTheme="minorEastAsia" w:hAnsiTheme="minorEastAsia"/>
          <w:spacing w:val="-4"/>
          <w:kern w:val="0"/>
          <w:sz w:val="24"/>
          <w:szCs w:val="24"/>
        </w:rPr>
      </w:pPr>
      <w:r>
        <w:rPr>
          <w:rFonts w:hint="eastAsia" w:cs="宋体" w:asciiTheme="minorEastAsia" w:hAnsiTheme="minorEastAsia"/>
          <w:spacing w:val="-4"/>
          <w:kern w:val="0"/>
          <w:sz w:val="24"/>
          <w:szCs w:val="24"/>
        </w:rPr>
        <w:t>标志性成果奖励是指承担国家级重大、重点科研项目以及获得省部级一等奖以上科技奖或省部级特等奖以上教学成果奖或荣获国家级荣誉称号的奖励。标志性成果奖励由学校（或学院）直接发放给成果获得者。</w:t>
      </w:r>
    </w:p>
    <w:p>
      <w:pPr>
        <w:spacing w:line="480" w:lineRule="auto"/>
        <w:rPr>
          <w:rFonts w:asciiTheme="minorEastAsia" w:hAnsiTheme="minorEastAsia"/>
          <w:bCs/>
          <w:sz w:val="24"/>
          <w:szCs w:val="24"/>
        </w:rPr>
      </w:pPr>
      <w:r>
        <w:rPr>
          <w:rFonts w:hint="eastAsia" w:asciiTheme="minorEastAsia" w:hAnsiTheme="minorEastAsia"/>
          <w:b/>
          <w:bCs/>
          <w:sz w:val="24"/>
          <w:szCs w:val="24"/>
        </w:rPr>
        <w:t>七 、弹性绩效津贴</w:t>
      </w:r>
    </w:p>
    <w:p>
      <w:pPr>
        <w:spacing w:line="360" w:lineRule="auto"/>
        <w:ind w:firstLine="456" w:firstLineChars="190"/>
        <w:rPr>
          <w:rFonts w:asciiTheme="minorEastAsia" w:hAnsiTheme="minorEastAsia"/>
          <w:bCs/>
          <w:sz w:val="24"/>
          <w:szCs w:val="24"/>
        </w:rPr>
      </w:pPr>
      <w:r>
        <w:rPr>
          <w:rFonts w:hint="eastAsia" w:asciiTheme="minorEastAsia" w:hAnsiTheme="minorEastAsia"/>
          <w:bCs/>
          <w:sz w:val="24"/>
          <w:szCs w:val="24"/>
        </w:rPr>
        <w:t>学院创收的收入作为弹性绩效津贴纳入学院奖励绩效，根据该年度学院的财政收支情况，由学院党政例会讨论决定是否进行分配，具体根据教职工在职在岗工作情况发放。</w:t>
      </w:r>
    </w:p>
    <w:p>
      <w:pPr>
        <w:widowControl/>
        <w:spacing w:line="480" w:lineRule="auto"/>
        <w:jc w:val="left"/>
        <w:rPr>
          <w:rFonts w:asciiTheme="minorEastAsia" w:hAnsiTheme="minorEastAsia"/>
          <w:b/>
          <w:sz w:val="24"/>
          <w:szCs w:val="24"/>
        </w:rPr>
      </w:pPr>
      <w:r>
        <w:rPr>
          <w:rFonts w:hint="eastAsia" w:asciiTheme="minorEastAsia" w:hAnsiTheme="minorEastAsia"/>
          <w:b/>
          <w:sz w:val="24"/>
          <w:szCs w:val="24"/>
        </w:rPr>
        <w:t>八 、其他</w:t>
      </w:r>
    </w:p>
    <w:p>
      <w:pPr>
        <w:spacing w:line="360" w:lineRule="auto"/>
        <w:ind w:firstLine="456" w:firstLineChars="190"/>
        <w:rPr>
          <w:rFonts w:hint="eastAsia" w:asciiTheme="minorEastAsia" w:hAnsiTheme="minorEastAsia"/>
          <w:bCs/>
          <w:sz w:val="24"/>
          <w:szCs w:val="24"/>
        </w:rPr>
      </w:pPr>
      <w:r>
        <w:rPr>
          <w:rFonts w:hint="eastAsia" w:asciiTheme="minorEastAsia" w:hAnsiTheme="minorEastAsia"/>
          <w:bCs/>
          <w:sz w:val="24"/>
          <w:szCs w:val="24"/>
          <w:lang w:val="en-US" w:eastAsia="zh-CN"/>
        </w:rPr>
        <w:t>1、</w:t>
      </w:r>
      <w:r>
        <w:rPr>
          <w:rFonts w:hint="eastAsia" w:asciiTheme="minorEastAsia" w:hAnsiTheme="minorEastAsia"/>
          <w:bCs/>
          <w:sz w:val="24"/>
          <w:szCs w:val="24"/>
        </w:rPr>
        <w:t>为了鼓励老师对学院发展所做的贡献，学院根据经费收支情况，设立学院工作特别贡献奖，奖励为学院发展作出特别贡献的人员。具体实施由学院党政例会讨论决定。</w:t>
      </w:r>
    </w:p>
    <w:p>
      <w:pPr>
        <w:spacing w:line="360" w:lineRule="auto"/>
        <w:ind w:firstLine="456" w:firstLineChars="190"/>
        <w:rPr>
          <w:rFonts w:hint="eastAsia" w:asciiTheme="minorEastAsia" w:hAnsiTheme="minorEastAsia"/>
          <w:bCs/>
          <w:sz w:val="24"/>
          <w:szCs w:val="24"/>
        </w:rPr>
      </w:pPr>
      <w:r>
        <w:rPr>
          <w:rFonts w:hint="eastAsia" w:asciiTheme="minorEastAsia" w:hAnsiTheme="minorEastAsia"/>
          <w:bCs/>
          <w:sz w:val="24"/>
          <w:szCs w:val="24"/>
          <w:lang w:val="en-US" w:eastAsia="zh-CN"/>
        </w:rPr>
        <w:t>2、</w:t>
      </w:r>
      <w:r>
        <w:rPr>
          <w:rFonts w:hint="eastAsia" w:asciiTheme="minorEastAsia" w:hAnsiTheme="minorEastAsia"/>
          <w:bCs/>
          <w:sz w:val="24"/>
          <w:szCs w:val="24"/>
        </w:rPr>
        <w:t>对于老师参与额外的教学、科研、行政管理、工会工作，经学院党政例会讨论决定后，每年从留存的事业发展基金中拨出一定金额，由各块的负责人根据贡献情况进行分配。</w:t>
      </w:r>
    </w:p>
    <w:p>
      <w:pP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九 、附则</w:t>
      </w:r>
    </w:p>
    <w:p>
      <w:pPr>
        <w:widowControl/>
        <w:spacing w:line="36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1、本实施细则由学院绩效工作领导小组负责解释。</w:t>
      </w:r>
    </w:p>
    <w:p>
      <w:pPr>
        <w:widowControl/>
        <w:spacing w:line="360" w:lineRule="auto"/>
        <w:ind w:firstLine="480" w:firstLineChars="200"/>
        <w:jc w:val="left"/>
        <w:rPr>
          <w:rFonts w:asciiTheme="minorEastAsia" w:hAnsiTheme="minorEastAsia"/>
          <w:color w:val="000000"/>
          <w:kern w:val="0"/>
          <w:sz w:val="24"/>
          <w:szCs w:val="24"/>
        </w:rPr>
      </w:pPr>
      <w:r>
        <w:rPr>
          <w:rFonts w:hint="eastAsia" w:cs="宋体" w:asciiTheme="minorEastAsia" w:hAnsiTheme="minorEastAsia"/>
          <w:color w:val="000000"/>
          <w:kern w:val="0"/>
          <w:sz w:val="24"/>
          <w:szCs w:val="24"/>
        </w:rPr>
        <w:t>2、本实施方案</w:t>
      </w:r>
      <w:r>
        <w:rPr>
          <w:rFonts w:hint="eastAsia" w:asciiTheme="minorEastAsia" w:hAnsiTheme="minorEastAsia"/>
          <w:color w:val="000000"/>
          <w:kern w:val="0"/>
          <w:sz w:val="24"/>
          <w:szCs w:val="24"/>
        </w:rPr>
        <w:t>经学院教代会讨论通过之日</w:t>
      </w:r>
      <w:r>
        <w:rPr>
          <w:rFonts w:hint="eastAsia" w:asciiTheme="minorEastAsia" w:hAnsiTheme="minorEastAsia"/>
          <w:kern w:val="0"/>
          <w:sz w:val="24"/>
          <w:szCs w:val="24"/>
        </w:rPr>
        <w:t>起</w:t>
      </w:r>
      <w:r>
        <w:rPr>
          <w:rFonts w:hint="eastAsia" w:cs="宋体" w:asciiTheme="minorEastAsia" w:hAnsiTheme="minorEastAsia"/>
          <w:color w:val="000000"/>
          <w:kern w:val="0"/>
          <w:sz w:val="24"/>
          <w:szCs w:val="24"/>
        </w:rPr>
        <w:t>实施</w:t>
      </w:r>
      <w:r>
        <w:rPr>
          <w:rFonts w:hint="eastAsia" w:asciiTheme="minorEastAsia" w:hAnsiTheme="minorEastAsia"/>
          <w:kern w:val="0"/>
          <w:sz w:val="24"/>
          <w:szCs w:val="24"/>
        </w:rPr>
        <w:t>，</w:t>
      </w:r>
      <w:r>
        <w:rPr>
          <w:rFonts w:hint="eastAsia" w:asciiTheme="minorEastAsia" w:hAnsiTheme="minorEastAsia"/>
          <w:color w:val="000000"/>
          <w:kern w:val="0"/>
          <w:sz w:val="24"/>
          <w:szCs w:val="24"/>
        </w:rPr>
        <w:t>其他文件有冲突时以本文件为准。</w:t>
      </w:r>
    </w:p>
    <w:p>
      <w:pPr>
        <w:widowControl/>
        <w:spacing w:line="360" w:lineRule="auto"/>
        <w:ind w:firstLine="3600" w:firstLineChars="1500"/>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福州大学生物科学与工程学院</w:t>
      </w:r>
    </w:p>
    <w:p>
      <w:pPr>
        <w:widowControl/>
        <w:spacing w:line="360" w:lineRule="auto"/>
        <w:ind w:firstLine="3720" w:firstLineChars="1550"/>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二○二一年</w:t>
      </w:r>
      <w:r>
        <w:rPr>
          <w:rFonts w:hint="eastAsia" w:cs="宋体" w:asciiTheme="minorEastAsia" w:hAnsiTheme="minorEastAsia"/>
          <w:color w:val="000000"/>
          <w:kern w:val="0"/>
          <w:sz w:val="24"/>
          <w:szCs w:val="24"/>
          <w:lang w:val="en-US" w:eastAsia="zh-CN"/>
        </w:rPr>
        <w:t>五</w:t>
      </w:r>
      <w:r>
        <w:rPr>
          <w:rFonts w:hint="eastAsia" w:cs="宋体" w:asciiTheme="minorEastAsia" w:hAnsiTheme="minorEastAsia"/>
          <w:color w:val="000000"/>
          <w:kern w:val="0"/>
          <w:sz w:val="24"/>
          <w:szCs w:val="24"/>
        </w:rPr>
        <w:t>月</w:t>
      </w:r>
      <w:r>
        <w:rPr>
          <w:rFonts w:hint="eastAsia" w:cs="宋体" w:asciiTheme="minorEastAsia" w:hAnsiTheme="minorEastAsia"/>
          <w:color w:val="000000"/>
          <w:kern w:val="0"/>
          <w:sz w:val="24"/>
          <w:szCs w:val="24"/>
          <w:lang w:val="en-US" w:eastAsia="zh-CN"/>
        </w:rPr>
        <w:t>十三</w:t>
      </w:r>
      <w:r>
        <w:rPr>
          <w:rFonts w:hint="eastAsia" w:cs="宋体" w:asciiTheme="minorEastAsia" w:hAnsiTheme="minorEastAsia"/>
          <w:color w:val="000000"/>
          <w:kern w:val="0"/>
          <w:sz w:val="24"/>
          <w:szCs w:val="24"/>
        </w:rPr>
        <w:t>日</w:t>
      </w:r>
    </w:p>
    <w:p>
      <w:pPr>
        <w:rPr>
          <w:rFonts w:asciiTheme="minorEastAsia" w:hAnsiTheme="minorEastAsia"/>
          <w:sz w:val="24"/>
          <w:szCs w:val="24"/>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6543F"/>
    <w:multiLevelType w:val="singleLevel"/>
    <w:tmpl w:val="C7C6543F"/>
    <w:lvl w:ilvl="0" w:tentative="0">
      <w:start w:val="4"/>
      <w:numFmt w:val="chineseCounting"/>
      <w:suff w:val="nothing"/>
      <w:lvlText w:val="%1、"/>
      <w:lvlJc w:val="left"/>
      <w:rPr>
        <w:rFonts w:hint="eastAsia"/>
      </w:rPr>
    </w:lvl>
  </w:abstractNum>
  <w:abstractNum w:abstractNumId="1">
    <w:nsid w:val="2D738120"/>
    <w:multiLevelType w:val="singleLevel"/>
    <w:tmpl w:val="2D7381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D413C"/>
    <w:rsid w:val="415D4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2021-06-01T00:59:00Z</dcterms:created>
  <dc:creator>生工学院</dc:creator>
  <cp:lastModifiedBy>生工学院</cp:lastModifiedBy>
  <dcterms:modified xsi:type="dcterms:W3CDTF">2021-06-01T01:00:49Z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